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E69042" w14:textId="77777777" w:rsidR="007B2DC2" w:rsidRPr="007B2DC2" w:rsidRDefault="00A31AF0" w:rsidP="00A426C9">
      <w:pPr>
        <w:rPr>
          <w:lang w:val="nn-NO"/>
        </w:rPr>
      </w:pPr>
      <w:r w:rsidRPr="007B2DC2">
        <w:rPr>
          <w:b/>
          <w:lang w:val="nn-NO"/>
        </w:rPr>
        <w:t>D</w:t>
      </w:r>
      <w:r w:rsidR="00C21F3D" w:rsidRPr="007B2DC2">
        <w:rPr>
          <w:b/>
          <w:lang w:val="nn-NO"/>
        </w:rPr>
        <w:t>iskrimineringsrett</w:t>
      </w:r>
      <w:r w:rsidR="00BF1305" w:rsidRPr="007B2DC2">
        <w:rPr>
          <w:b/>
          <w:lang w:val="nn-NO"/>
        </w:rPr>
        <w:t xml:space="preserve">ens plass     </w:t>
      </w:r>
    </w:p>
    <w:p w14:paraId="33A0830F" w14:textId="7EA810A4" w:rsidR="001C2644" w:rsidRDefault="007B2DC2" w:rsidP="00A426C9">
      <w:pPr>
        <w:rPr>
          <w:lang w:val="nn-NO"/>
        </w:rPr>
      </w:pPr>
      <w:r>
        <w:rPr>
          <w:lang w:val="nn-NO"/>
        </w:rPr>
        <w:t>Trykt</w:t>
      </w:r>
      <w:r w:rsidR="001C2644" w:rsidRPr="00B97E5B">
        <w:rPr>
          <w:lang w:val="nn-NO"/>
        </w:rPr>
        <w:t xml:space="preserve"> i Lov og Rett nr 3-2023</w:t>
      </w:r>
      <w:r w:rsidR="00B97E5B" w:rsidRPr="00B97E5B">
        <w:rPr>
          <w:lang w:val="nn-NO"/>
        </w:rPr>
        <w:t xml:space="preserve"> s</w:t>
      </w:r>
      <w:r w:rsidR="00B97E5B">
        <w:rPr>
          <w:lang w:val="nn-NO"/>
        </w:rPr>
        <w:t xml:space="preserve"> </w:t>
      </w:r>
      <w:r w:rsidR="00B97E5B" w:rsidRPr="00B97E5B">
        <w:rPr>
          <w:lang w:val="nn-NO"/>
        </w:rPr>
        <w:t>193–200</w:t>
      </w:r>
      <w:r>
        <w:rPr>
          <w:lang w:val="nn-NO"/>
        </w:rPr>
        <w:t>, på nett frå 11.4.2023</w:t>
      </w:r>
      <w:r w:rsidR="00030B5B">
        <w:rPr>
          <w:lang w:val="nn-NO"/>
        </w:rPr>
        <w:t xml:space="preserve"> (betalingsmur)</w:t>
      </w:r>
      <w:r w:rsidR="00143E8A">
        <w:rPr>
          <w:lang w:val="nn-NO"/>
        </w:rPr>
        <w:t>:</w:t>
      </w:r>
      <w:r w:rsidR="008F3305">
        <w:rPr>
          <w:lang w:val="nn-NO"/>
        </w:rPr>
        <w:t xml:space="preserve"> </w:t>
      </w:r>
      <w:bookmarkStart w:id="0" w:name="_GoBack"/>
      <w:bookmarkEnd w:id="0"/>
      <w:r w:rsidR="00030B5B">
        <w:rPr>
          <w:lang w:val="nn-NO"/>
        </w:rPr>
        <w:t xml:space="preserve"> </w:t>
      </w:r>
    </w:p>
    <w:p w14:paraId="1F532890" w14:textId="1489E6EB" w:rsidR="00143E8A" w:rsidRPr="007B2DC2" w:rsidRDefault="00143E8A" w:rsidP="00A426C9">
      <w:pPr>
        <w:rPr>
          <w:lang w:val="nn-NO"/>
        </w:rPr>
      </w:pPr>
      <w:hyperlink r:id="rId9" w:history="1">
        <w:proofErr w:type="spellStart"/>
        <w:r>
          <w:rPr>
            <w:rStyle w:val="Hyperkobling"/>
            <w:rFonts w:eastAsiaTheme="majorEastAsia"/>
          </w:rPr>
          <w:t>Likestillings</w:t>
        </w:r>
        <w:proofErr w:type="spellEnd"/>
        <w:r>
          <w:rPr>
            <w:rStyle w:val="Hyperkobling"/>
            <w:rFonts w:eastAsiaTheme="majorEastAsia"/>
          </w:rPr>
          <w:t xml:space="preserve">- </w:t>
        </w:r>
        <w:proofErr w:type="gramStart"/>
        <w:r>
          <w:rPr>
            <w:rStyle w:val="Hyperkobling"/>
            <w:rFonts w:eastAsiaTheme="majorEastAsia"/>
          </w:rPr>
          <w:t>og</w:t>
        </w:r>
        <w:proofErr w:type="gramEnd"/>
        <w:r>
          <w:rPr>
            <w:rStyle w:val="Hyperkobling"/>
            <w:rFonts w:eastAsiaTheme="majorEastAsia"/>
          </w:rPr>
          <w:t xml:space="preserve"> </w:t>
        </w:r>
        <w:proofErr w:type="spellStart"/>
        <w:r>
          <w:rPr>
            <w:rStyle w:val="Hyperkobling"/>
            <w:rFonts w:eastAsiaTheme="majorEastAsia"/>
          </w:rPr>
          <w:t>diskrimineringsloven</w:t>
        </w:r>
        <w:proofErr w:type="spellEnd"/>
        <w:r>
          <w:rPr>
            <w:rStyle w:val="Hyperkobling"/>
            <w:rFonts w:eastAsiaTheme="majorEastAsia"/>
          </w:rPr>
          <w:t xml:space="preserve">. </w:t>
        </w:r>
        <w:proofErr w:type="spellStart"/>
        <w:r>
          <w:rPr>
            <w:rStyle w:val="Hyperkobling"/>
            <w:rFonts w:eastAsiaTheme="majorEastAsia"/>
          </w:rPr>
          <w:t>Lovkommentar</w:t>
        </w:r>
        <w:proofErr w:type="spellEnd"/>
        <w:r>
          <w:rPr>
            <w:rStyle w:val="Hyperkobling"/>
            <w:rFonts w:eastAsiaTheme="majorEastAsia"/>
          </w:rPr>
          <w:t>/</w:t>
        </w:r>
        <w:proofErr w:type="spellStart"/>
        <w:r>
          <w:rPr>
            <w:rStyle w:val="Hyperkobling"/>
            <w:rFonts w:eastAsiaTheme="majorEastAsia"/>
          </w:rPr>
          <w:t>Likestillings</w:t>
        </w:r>
        <w:proofErr w:type="spellEnd"/>
        <w:r>
          <w:rPr>
            <w:rStyle w:val="Hyperkobling"/>
            <w:rFonts w:eastAsiaTheme="majorEastAsia"/>
          </w:rPr>
          <w:t xml:space="preserve">- </w:t>
        </w:r>
        <w:proofErr w:type="gramStart"/>
        <w:r>
          <w:rPr>
            <w:rStyle w:val="Hyperkobling"/>
            <w:rFonts w:eastAsiaTheme="majorEastAsia"/>
          </w:rPr>
          <w:t>og</w:t>
        </w:r>
        <w:proofErr w:type="gramEnd"/>
        <w:r>
          <w:rPr>
            <w:rStyle w:val="Hyperkobling"/>
            <w:rFonts w:eastAsiaTheme="majorEastAsia"/>
          </w:rPr>
          <w:t xml:space="preserve"> </w:t>
        </w:r>
        <w:proofErr w:type="spellStart"/>
        <w:r>
          <w:rPr>
            <w:rStyle w:val="Hyperkobling"/>
            <w:rFonts w:eastAsiaTheme="majorEastAsia"/>
          </w:rPr>
          <w:t>diskrimineringsrett</w:t>
        </w:r>
        <w:proofErr w:type="spellEnd"/>
        <w:r>
          <w:rPr>
            <w:rStyle w:val="Hyperkobling"/>
            <w:rFonts w:eastAsiaTheme="majorEastAsia"/>
          </w:rPr>
          <w:t xml:space="preserve"> (idunn.no)</w:t>
        </w:r>
      </w:hyperlink>
      <w:r>
        <w:t xml:space="preserve"> </w:t>
      </w:r>
    </w:p>
    <w:p w14:paraId="044E3230" w14:textId="7F888698" w:rsidR="002A14A5" w:rsidRPr="007B2DC2" w:rsidRDefault="00504E15" w:rsidP="00A426C9">
      <w:pPr>
        <w:rPr>
          <w:lang w:val="nn-NO"/>
        </w:rPr>
      </w:pPr>
      <w:r w:rsidRPr="007B2DC2">
        <w:rPr>
          <w:lang w:val="nn-NO"/>
        </w:rPr>
        <w:t xml:space="preserve"> </w:t>
      </w:r>
    </w:p>
    <w:p w14:paraId="46E8137C" w14:textId="77777777" w:rsidR="009F15C6" w:rsidRDefault="00CA119B" w:rsidP="00333E51">
      <w:pPr>
        <w:rPr>
          <w:lang w:val="nb-NO"/>
        </w:rPr>
      </w:pPr>
      <w:r w:rsidRPr="00C914FA">
        <w:rPr>
          <w:lang w:val="nb-NO"/>
        </w:rPr>
        <w:t>To mursteiner om diskri</w:t>
      </w:r>
      <w:r w:rsidR="00C914FA" w:rsidRPr="00C914FA">
        <w:rPr>
          <w:lang w:val="nb-NO"/>
        </w:rPr>
        <w:t xml:space="preserve">mineringsrett er nylig utkommet, dette gir anledning til </w:t>
      </w:r>
      <w:r w:rsidR="00543970">
        <w:rPr>
          <w:lang w:val="nb-NO"/>
        </w:rPr>
        <w:t xml:space="preserve">refleksjoner </w:t>
      </w:r>
      <w:r w:rsidR="0055163B">
        <w:rPr>
          <w:lang w:val="nb-NO"/>
        </w:rPr>
        <w:t>over</w:t>
      </w:r>
      <w:r w:rsidR="00C914FA" w:rsidRPr="00C914FA">
        <w:rPr>
          <w:lang w:val="nb-NO"/>
        </w:rPr>
        <w:t xml:space="preserve"> temaet. Den første var</w:t>
      </w:r>
      <w:r w:rsidR="00C914FA" w:rsidRPr="00C914FA">
        <w:rPr>
          <w:i/>
          <w:lang w:val="nb-NO"/>
        </w:rPr>
        <w:t xml:space="preserve"> Likestillings- og diskrimineringsloven</w:t>
      </w:r>
      <w:r w:rsidR="00556EF2">
        <w:rPr>
          <w:lang w:val="nb-NO"/>
        </w:rPr>
        <w:t>,</w:t>
      </w:r>
      <w:r w:rsidR="00C914FA" w:rsidRPr="00C914FA">
        <w:rPr>
          <w:lang w:val="nb-NO"/>
        </w:rPr>
        <w:t xml:space="preserve"> av Anne Jorun Bolken Ballangrud og Margrethe Søbstad</w:t>
      </w:r>
      <w:r w:rsidR="00C914FA">
        <w:rPr>
          <w:lang w:val="nb-NO"/>
        </w:rPr>
        <w:t>, som utkom i april 2021. Den inngår i Universitetsforlagets lovkommentarserie og er på 7</w:t>
      </w:r>
      <w:r w:rsidR="0055163B">
        <w:rPr>
          <w:lang w:val="nb-NO"/>
        </w:rPr>
        <w:t>13</w:t>
      </w:r>
      <w:r w:rsidR="00C914FA">
        <w:rPr>
          <w:lang w:val="nb-NO"/>
        </w:rPr>
        <w:t xml:space="preserve"> sider</w:t>
      </w:r>
      <w:r w:rsidR="0055163B">
        <w:rPr>
          <w:lang w:val="nb-NO"/>
        </w:rPr>
        <w:t>, den elektroniske utgaven er oppdatert</w:t>
      </w:r>
      <w:r w:rsidR="00C914FA">
        <w:rPr>
          <w:lang w:val="nb-NO"/>
        </w:rPr>
        <w:t>.</w:t>
      </w:r>
      <w:r w:rsidR="0055163B">
        <w:rPr>
          <w:lang w:val="nb-NO"/>
        </w:rPr>
        <w:t xml:space="preserve"> </w:t>
      </w:r>
      <w:r w:rsidR="009F15C6">
        <w:rPr>
          <w:lang w:val="nb-NO"/>
        </w:rPr>
        <w:t xml:space="preserve">Den neste boken kom </w:t>
      </w:r>
      <w:r w:rsidR="001E6C82">
        <w:rPr>
          <w:lang w:val="nb-NO"/>
        </w:rPr>
        <w:t xml:space="preserve">i april </w:t>
      </w:r>
      <w:r w:rsidR="009F15C6">
        <w:rPr>
          <w:lang w:val="nb-NO"/>
        </w:rPr>
        <w:t xml:space="preserve">2022 på Gyldendal: </w:t>
      </w:r>
      <w:r w:rsidR="00333E51" w:rsidRPr="009F15C6">
        <w:rPr>
          <w:i/>
          <w:lang w:val="nb-NO"/>
        </w:rPr>
        <w:t>Likestillings- og diskrimineringsrett</w:t>
      </w:r>
      <w:r w:rsidR="00556EF2">
        <w:rPr>
          <w:lang w:val="nb-NO"/>
        </w:rPr>
        <w:t>,</w:t>
      </w:r>
      <w:r w:rsidR="00C53E1F" w:rsidRPr="00C914FA">
        <w:rPr>
          <w:lang w:val="nb-NO"/>
        </w:rPr>
        <w:t xml:space="preserve"> </w:t>
      </w:r>
      <w:r w:rsidR="009F15C6">
        <w:rPr>
          <w:lang w:val="nb-NO"/>
        </w:rPr>
        <w:t>av Anne Hellum og</w:t>
      </w:r>
      <w:r w:rsidR="009F15C6" w:rsidRPr="00C914FA">
        <w:rPr>
          <w:lang w:val="nb-NO"/>
        </w:rPr>
        <w:t xml:space="preserve"> Vibeke Blaker Strand</w:t>
      </w:r>
      <w:r w:rsidR="008A1770">
        <w:rPr>
          <w:lang w:val="nb-NO"/>
        </w:rPr>
        <w:t>, på 855 sider</w:t>
      </w:r>
      <w:r w:rsidR="009F15C6" w:rsidRPr="00C914FA">
        <w:rPr>
          <w:lang w:val="nb-NO"/>
        </w:rPr>
        <w:t>.</w:t>
      </w:r>
      <w:r w:rsidR="008A1770">
        <w:rPr>
          <w:lang w:val="nb-NO"/>
        </w:rPr>
        <w:t xml:space="preserve"> </w:t>
      </w:r>
      <w:r w:rsidR="000261D9">
        <w:rPr>
          <w:lang w:val="nb-NO"/>
        </w:rPr>
        <w:t>Den første er skrevet på fritiden av to jurister i forvaltningen, den andre av to juridiske professorer.</w:t>
      </w:r>
      <w:r w:rsidR="00E647D5">
        <w:rPr>
          <w:lang w:val="nb-NO"/>
        </w:rPr>
        <w:t xml:space="preserve"> M</w:t>
      </w:r>
      <w:r w:rsidR="00931A3E">
        <w:rPr>
          <w:lang w:val="nb-NO"/>
        </w:rPr>
        <w:t>er om disse bøkene nedenfor</w:t>
      </w:r>
      <w:r w:rsidR="00E647D5">
        <w:rPr>
          <w:lang w:val="nb-NO"/>
        </w:rPr>
        <w:t>.</w:t>
      </w:r>
      <w:r w:rsidR="000261D9">
        <w:rPr>
          <w:lang w:val="nb-NO"/>
        </w:rPr>
        <w:t xml:space="preserve"> </w:t>
      </w:r>
      <w:r w:rsidR="00543970">
        <w:rPr>
          <w:lang w:val="nb-NO"/>
        </w:rPr>
        <w:t xml:space="preserve">Utgivelsene reiser spørsmål som: </w:t>
      </w:r>
      <w:r w:rsidR="009F15C6">
        <w:rPr>
          <w:lang w:val="nb-NO"/>
        </w:rPr>
        <w:t xml:space="preserve"> </w:t>
      </w:r>
      <w:r w:rsidR="000261D9">
        <w:rPr>
          <w:lang w:val="nb-NO"/>
        </w:rPr>
        <w:t xml:space="preserve"> </w:t>
      </w:r>
    </w:p>
    <w:p w14:paraId="42552A2E" w14:textId="77777777" w:rsidR="004A134A" w:rsidRDefault="00543970" w:rsidP="004A134A">
      <w:pPr>
        <w:rPr>
          <w:szCs w:val="22"/>
          <w:lang w:val="nb-NO"/>
        </w:rPr>
      </w:pPr>
      <w:r>
        <w:rPr>
          <w:lang w:val="nb-NO"/>
        </w:rPr>
        <w:t xml:space="preserve">   Trenger vi så mange sider om dette temae</w:t>
      </w:r>
      <w:r w:rsidR="007F553B">
        <w:rPr>
          <w:lang w:val="nb-NO"/>
        </w:rPr>
        <w:t xml:space="preserve">t? Hvilket syn på rettsområdet </w:t>
      </w:r>
      <w:r>
        <w:rPr>
          <w:lang w:val="nb-NO"/>
        </w:rPr>
        <w:t xml:space="preserve">flagger de to bøkene, er det noen forskjell mellom dem? Hvor stor plass </w:t>
      </w:r>
      <w:r w:rsidR="0024217C">
        <w:rPr>
          <w:lang w:val="nb-NO"/>
        </w:rPr>
        <w:t>har diskrimineringsretten i jus</w:t>
      </w:r>
      <w:r>
        <w:rPr>
          <w:lang w:val="nb-NO"/>
        </w:rPr>
        <w:t xml:space="preserve">en, og hvor stor plass bør den ha? </w:t>
      </w:r>
      <w:r w:rsidR="004A134A">
        <w:rPr>
          <w:lang w:val="nb-NO"/>
        </w:rPr>
        <w:t>Det siste illustrerer jeg med følgende eksempel:</w:t>
      </w:r>
    </w:p>
    <w:p w14:paraId="58400AF7" w14:textId="1A64D18D" w:rsidR="004A134A" w:rsidRDefault="00DD7582" w:rsidP="004A134A">
      <w:pPr>
        <w:rPr>
          <w:lang w:val="nb-NO"/>
        </w:rPr>
      </w:pPr>
      <w:r>
        <w:rPr>
          <w:lang w:val="nb-NO"/>
        </w:rPr>
        <w:t xml:space="preserve">   </w:t>
      </w:r>
      <w:r w:rsidR="004A134A">
        <w:rPr>
          <w:lang w:val="nb-NO"/>
        </w:rPr>
        <w:t xml:space="preserve">Har tykke mennesker krav på en gratis ekstraplass i flyet, slik at de kan sitte godt? NOU 2009: 14 </w:t>
      </w:r>
      <w:r w:rsidR="004A134A">
        <w:rPr>
          <w:i/>
          <w:lang w:val="nb-NO"/>
        </w:rPr>
        <w:t>Et helhetlig diskrimineringsvern</w:t>
      </w:r>
      <w:r w:rsidR="004A134A">
        <w:rPr>
          <w:lang w:val="nb-NO"/>
        </w:rPr>
        <w:t xml:space="preserve"> fra Diskrimineringslovutvalget var utredningen som i første omgang ikke resulterte i noen samlet diskrimineringslov, men som la hovedlinjene for dagens lov. I drøftelsen av overvekt som mulig diskrimineringsgrunnlag hevdes det at Canadas høyesterett i en sak fra 2008 har slått fast at overvektige mennesker har rett til å få to flyseter til prisen av </w:t>
      </w:r>
      <w:r w:rsidR="00EB4F2F">
        <w:rPr>
          <w:lang w:val="nb-NO"/>
        </w:rPr>
        <w:t>ett</w:t>
      </w:r>
      <w:r w:rsidR="004A134A">
        <w:rPr>
          <w:lang w:val="nb-NO"/>
        </w:rPr>
        <w:t xml:space="preserve"> på innenlandsreiser.</w:t>
      </w:r>
      <w:r w:rsidR="004A134A">
        <w:rPr>
          <w:vertAlign w:val="superscript"/>
          <w:lang w:val="nb-NO"/>
        </w:rPr>
        <w:footnoteReference w:id="1"/>
      </w:r>
      <w:r w:rsidR="004A134A">
        <w:rPr>
          <w:lang w:val="nb-NO"/>
        </w:rPr>
        <w:t xml:space="preserve"> </w:t>
      </w:r>
    </w:p>
    <w:p w14:paraId="2BF180EB" w14:textId="77777777" w:rsidR="004A134A" w:rsidRDefault="004A134A" w:rsidP="004A134A">
      <w:pPr>
        <w:rPr>
          <w:lang w:val="nb-NO"/>
        </w:rPr>
      </w:pPr>
      <w:r>
        <w:rPr>
          <w:lang w:val="nb-NO"/>
        </w:rPr>
        <w:t xml:space="preserve">   Våre flinke bibliotekarer fant ikke denne dommen i basene, trolig fordi den ikke fantes. Diskrimineringslovutvalget hadde kanskje blandet sammen forskjellige avgjørelser?</w:t>
      </w:r>
    </w:p>
    <w:p w14:paraId="6AEB9361" w14:textId="03594B55" w:rsidR="004A134A" w:rsidRDefault="004A134A" w:rsidP="004A134A">
      <w:pPr>
        <w:rPr>
          <w:lang w:val="nb-NO"/>
        </w:rPr>
      </w:pPr>
      <w:r>
        <w:rPr>
          <w:lang w:val="nb-NO"/>
        </w:rPr>
        <w:t xml:space="preserve">   Saken NOU</w:t>
      </w:r>
      <w:r w:rsidR="00B561A9">
        <w:rPr>
          <w:lang w:val="nb-NO"/>
        </w:rPr>
        <w:t>-</w:t>
      </w:r>
      <w:r>
        <w:rPr>
          <w:lang w:val="nb-NO"/>
        </w:rPr>
        <w:t xml:space="preserve">en trolig siktet til, er en avgjørelse fra det uavhengige forvaltningsorgan Canadian </w:t>
      </w:r>
      <w:proofErr w:type="spellStart"/>
      <w:r>
        <w:rPr>
          <w:lang w:val="nb-NO"/>
        </w:rPr>
        <w:t>Transportation</w:t>
      </w:r>
      <w:proofErr w:type="spellEnd"/>
      <w:r>
        <w:rPr>
          <w:lang w:val="nb-NO"/>
        </w:rPr>
        <w:t xml:space="preserve"> </w:t>
      </w:r>
      <w:proofErr w:type="spellStart"/>
      <w:r>
        <w:rPr>
          <w:lang w:val="nb-NO"/>
        </w:rPr>
        <w:t>Agency</w:t>
      </w:r>
      <w:proofErr w:type="spellEnd"/>
      <w:r>
        <w:rPr>
          <w:lang w:val="nb-NO"/>
        </w:rPr>
        <w:t>, 10. januar 2008.</w:t>
      </w:r>
      <w:r>
        <w:rPr>
          <w:rStyle w:val="Fotnotereferanse"/>
          <w:lang w:val="nb-NO"/>
        </w:rPr>
        <w:footnoteReference w:id="2"/>
      </w:r>
      <w:r>
        <w:rPr>
          <w:lang w:val="nb-NO"/>
        </w:rPr>
        <w:t xml:space="preserve"> Avgjørelsen gjaldt gratis ekstra sete for personer som er funksjonshemmede på grunn av sterk fedme («severe </w:t>
      </w:r>
      <w:proofErr w:type="spellStart"/>
      <w:r>
        <w:rPr>
          <w:lang w:val="nb-NO"/>
        </w:rPr>
        <w:t>obesity</w:t>
      </w:r>
      <w:proofErr w:type="spellEnd"/>
      <w:r>
        <w:rPr>
          <w:lang w:val="nb-NO"/>
        </w:rPr>
        <w:t>», avsnitt 433), altså ikke overvektige generelt. Avgjørelsen ble anket, og 20. november 2008 nektet Canadas høyesterett tillatelse til ankebehandling. Rådets avgjørelse ble dermed stående.</w:t>
      </w:r>
      <w:r>
        <w:rPr>
          <w:vertAlign w:val="superscript"/>
          <w:lang w:val="nb-NO"/>
        </w:rPr>
        <w:footnoteReference w:id="3"/>
      </w:r>
      <w:r>
        <w:rPr>
          <w:lang w:val="nb-NO"/>
        </w:rPr>
        <w:t xml:space="preserve">   </w:t>
      </w:r>
    </w:p>
    <w:p w14:paraId="6A81F289" w14:textId="348ECD07" w:rsidR="004A134A" w:rsidRDefault="004A134A" w:rsidP="004A134A">
      <w:pPr>
        <w:rPr>
          <w:lang w:val="nb-NO"/>
        </w:rPr>
      </w:pPr>
      <w:r>
        <w:rPr>
          <w:lang w:val="nb-NO"/>
        </w:rPr>
        <w:t xml:space="preserve">   Saken ble avgjort ut fra «</w:t>
      </w:r>
      <w:proofErr w:type="spellStart"/>
      <w:r>
        <w:rPr>
          <w:lang w:val="nb-NO"/>
        </w:rPr>
        <w:t>the</w:t>
      </w:r>
      <w:proofErr w:type="spellEnd"/>
      <w:r>
        <w:rPr>
          <w:lang w:val="nb-NO"/>
        </w:rPr>
        <w:t xml:space="preserve"> Canada </w:t>
      </w:r>
      <w:proofErr w:type="spellStart"/>
      <w:r>
        <w:rPr>
          <w:lang w:val="nb-NO"/>
        </w:rPr>
        <w:t>Transportation</w:t>
      </w:r>
      <w:proofErr w:type="spellEnd"/>
      <w:r>
        <w:rPr>
          <w:lang w:val="nb-NO"/>
        </w:rPr>
        <w:t xml:space="preserve"> </w:t>
      </w:r>
      <w:proofErr w:type="spellStart"/>
      <w:r>
        <w:rPr>
          <w:lang w:val="nb-NO"/>
        </w:rPr>
        <w:t>Act</w:t>
      </w:r>
      <w:proofErr w:type="spellEnd"/>
      <w:r>
        <w:rPr>
          <w:lang w:val="nb-NO"/>
        </w:rPr>
        <w:t>», som fastsetter at transportsystemet skal være tilgjengelig for alle «</w:t>
      </w:r>
      <w:proofErr w:type="spellStart"/>
      <w:r>
        <w:rPr>
          <w:lang w:val="nb-NO"/>
        </w:rPr>
        <w:t>without</w:t>
      </w:r>
      <w:proofErr w:type="spellEnd"/>
      <w:r>
        <w:rPr>
          <w:lang w:val="nb-NO"/>
        </w:rPr>
        <w:t xml:space="preserve"> </w:t>
      </w:r>
      <w:proofErr w:type="spellStart"/>
      <w:r>
        <w:rPr>
          <w:lang w:val="nb-NO"/>
        </w:rPr>
        <w:t>undue</w:t>
      </w:r>
      <w:proofErr w:type="spellEnd"/>
      <w:r>
        <w:rPr>
          <w:lang w:val="nb-NO"/>
        </w:rPr>
        <w:t xml:space="preserve"> </w:t>
      </w:r>
      <w:proofErr w:type="spellStart"/>
      <w:r>
        <w:rPr>
          <w:lang w:val="nb-NO"/>
        </w:rPr>
        <w:t>obstacle</w:t>
      </w:r>
      <w:proofErr w:type="spellEnd"/>
      <w:r>
        <w:rPr>
          <w:lang w:val="nb-NO"/>
        </w:rPr>
        <w:t>» og uten hindre for personer med funksjonshemninger. Det kanadiske transportrådet bestemte at to flyselskaper måtte innføre et "</w:t>
      </w:r>
      <w:proofErr w:type="spellStart"/>
      <w:r>
        <w:rPr>
          <w:lang w:val="nb-NO"/>
        </w:rPr>
        <w:t>one</w:t>
      </w:r>
      <w:proofErr w:type="spellEnd"/>
      <w:r>
        <w:rPr>
          <w:lang w:val="nb-NO"/>
        </w:rPr>
        <w:t xml:space="preserve"> person - </w:t>
      </w:r>
      <w:proofErr w:type="spellStart"/>
      <w:r>
        <w:rPr>
          <w:lang w:val="nb-NO"/>
        </w:rPr>
        <w:t>one</w:t>
      </w:r>
      <w:proofErr w:type="spellEnd"/>
      <w:r>
        <w:rPr>
          <w:lang w:val="nb-NO"/>
        </w:rPr>
        <w:t xml:space="preserve"> fare regime" på innenlandske flyruter (avsnitt 913). Dette innebærer at en person bare skal betale for én billett, selv om personen skal bruke to flyseter. Til da hadde selskapene praktisert «</w:t>
      </w:r>
      <w:proofErr w:type="spellStart"/>
      <w:r>
        <w:rPr>
          <w:lang w:val="nb-NO"/>
        </w:rPr>
        <w:t>one</w:t>
      </w:r>
      <w:proofErr w:type="spellEnd"/>
      <w:r>
        <w:rPr>
          <w:lang w:val="nb-NO"/>
        </w:rPr>
        <w:t xml:space="preserve"> fare per </w:t>
      </w:r>
      <w:proofErr w:type="spellStart"/>
      <w:r>
        <w:rPr>
          <w:lang w:val="nb-NO"/>
        </w:rPr>
        <w:t>seat</w:t>
      </w:r>
      <w:proofErr w:type="spellEnd"/>
      <w:r>
        <w:rPr>
          <w:lang w:val="nb-NO"/>
        </w:rPr>
        <w:t xml:space="preserve">», </w:t>
      </w:r>
      <w:r w:rsidR="00361B27">
        <w:rPr>
          <w:lang w:val="nb-NO"/>
        </w:rPr>
        <w:t>é</w:t>
      </w:r>
      <w:r>
        <w:rPr>
          <w:lang w:val="nb-NO"/>
        </w:rPr>
        <w:t>n billett per sete.</w:t>
      </w:r>
    </w:p>
    <w:p w14:paraId="301E6685" w14:textId="344BC504" w:rsidR="003A3725" w:rsidRDefault="004A134A" w:rsidP="004A134A">
      <w:pPr>
        <w:rPr>
          <w:lang w:val="nb-NO" w:eastAsia="nb-NO"/>
        </w:rPr>
      </w:pPr>
      <w:r>
        <w:rPr>
          <w:lang w:val="nb-NO"/>
        </w:rPr>
        <w:t xml:space="preserve">   Opplysningen i NOU</w:t>
      </w:r>
      <w:r w:rsidR="00B561A9">
        <w:rPr>
          <w:lang w:val="nb-NO"/>
        </w:rPr>
        <w:t>-</w:t>
      </w:r>
      <w:r>
        <w:rPr>
          <w:lang w:val="nb-NO"/>
        </w:rPr>
        <w:t>en gjorde mektig inntrykk på meg i 2009.</w:t>
      </w:r>
      <w:r>
        <w:rPr>
          <w:lang w:val="nb-NO" w:eastAsia="nb-NO"/>
        </w:rPr>
        <w:t xml:space="preserve"> </w:t>
      </w:r>
      <w:r w:rsidR="004E19D2">
        <w:rPr>
          <w:lang w:val="nb-NO"/>
        </w:rPr>
        <w:t>Det kan være grunner for at overvektige får ett sete gratis</w:t>
      </w:r>
      <w:r w:rsidR="00961F0A">
        <w:rPr>
          <w:lang w:val="nb-NO"/>
        </w:rPr>
        <w:t xml:space="preserve"> av flyselskapet</w:t>
      </w:r>
      <w:r w:rsidR="00A26F56">
        <w:rPr>
          <w:lang w:val="nb-NO"/>
        </w:rPr>
        <w:t>, og grunner som taler imot</w:t>
      </w:r>
      <w:r w:rsidR="004E19D2">
        <w:rPr>
          <w:lang w:val="nb-NO"/>
        </w:rPr>
        <w:t xml:space="preserve">. </w:t>
      </w:r>
      <w:r w:rsidR="00E775E1">
        <w:rPr>
          <w:lang w:val="nb-NO"/>
        </w:rPr>
        <w:t xml:space="preserve">Jeg </w:t>
      </w:r>
      <w:r w:rsidR="00FA20F5">
        <w:rPr>
          <w:lang w:val="nb-NO"/>
        </w:rPr>
        <w:t>så</w:t>
      </w:r>
      <w:r w:rsidR="00F95E98">
        <w:rPr>
          <w:lang w:val="nb-NO"/>
        </w:rPr>
        <w:t xml:space="preserve"> flest motargumenter. </w:t>
      </w:r>
      <w:r w:rsidR="001D42FA">
        <w:rPr>
          <w:lang w:val="nb-NO"/>
        </w:rPr>
        <w:t xml:space="preserve">Spørsmålet er om ekstrautgiften </w:t>
      </w:r>
      <w:r w:rsidR="000728C4">
        <w:rPr>
          <w:lang w:val="nb-NO"/>
        </w:rPr>
        <w:t>skal belastes flyselskapet,</w:t>
      </w:r>
      <w:r w:rsidR="00653CFD">
        <w:rPr>
          <w:lang w:val="nb-NO"/>
        </w:rPr>
        <w:t xml:space="preserve"> </w:t>
      </w:r>
      <w:r w:rsidR="00E53CC1">
        <w:rPr>
          <w:lang w:val="nb-NO"/>
        </w:rPr>
        <w:t>dekkes av en offentlig stønad</w:t>
      </w:r>
      <w:r w:rsidR="000728C4">
        <w:rPr>
          <w:lang w:val="nb-NO"/>
        </w:rPr>
        <w:t xml:space="preserve"> eller av personen selv</w:t>
      </w:r>
      <w:r w:rsidR="00E53CC1">
        <w:rPr>
          <w:lang w:val="nb-NO"/>
        </w:rPr>
        <w:t>. D</w:t>
      </w:r>
      <w:r w:rsidR="00653CFD">
        <w:rPr>
          <w:lang w:val="nb-NO"/>
        </w:rPr>
        <w:t xml:space="preserve">ette er </w:t>
      </w:r>
      <w:r w:rsidR="00E53CC1">
        <w:rPr>
          <w:lang w:val="nb-NO"/>
        </w:rPr>
        <w:t xml:space="preserve">etter min mening </w:t>
      </w:r>
      <w:r w:rsidR="00653CFD">
        <w:rPr>
          <w:lang w:val="nb-NO"/>
        </w:rPr>
        <w:t xml:space="preserve">et typisk </w:t>
      </w:r>
      <w:r w:rsidR="00F5054E">
        <w:rPr>
          <w:lang w:val="nb-NO"/>
        </w:rPr>
        <w:t>fordelings</w:t>
      </w:r>
      <w:r w:rsidR="00653CFD">
        <w:rPr>
          <w:lang w:val="nb-NO"/>
        </w:rPr>
        <w:t xml:space="preserve">politisk spørsmål. </w:t>
      </w:r>
    </w:p>
    <w:p w14:paraId="194FD0EA" w14:textId="683F7A92" w:rsidR="00F82C2E" w:rsidRDefault="003A3725" w:rsidP="00F82C2E">
      <w:pPr>
        <w:rPr>
          <w:lang w:val="nb-NO"/>
        </w:rPr>
      </w:pPr>
      <w:r>
        <w:rPr>
          <w:lang w:val="nb-NO"/>
        </w:rPr>
        <w:t xml:space="preserve">   </w:t>
      </w:r>
      <w:r w:rsidR="0017331F">
        <w:rPr>
          <w:lang w:val="nb-NO"/>
        </w:rPr>
        <w:t>S</w:t>
      </w:r>
      <w:r w:rsidR="00E6427E">
        <w:rPr>
          <w:lang w:val="nb-NO"/>
        </w:rPr>
        <w:t xml:space="preserve">kal </w:t>
      </w:r>
      <w:r w:rsidR="0017331F">
        <w:rPr>
          <w:lang w:val="nb-NO"/>
        </w:rPr>
        <w:t xml:space="preserve">så </w:t>
      </w:r>
      <w:r w:rsidR="00E6427E">
        <w:rPr>
          <w:lang w:val="nb-NO"/>
        </w:rPr>
        <w:t xml:space="preserve">dette spørsmålet avgjøres av en diskrimineringslov? </w:t>
      </w:r>
      <w:r w:rsidR="008D7C46">
        <w:rPr>
          <w:lang w:val="nb-NO"/>
        </w:rPr>
        <w:t xml:space="preserve">Hvis ja, bør ikke da alle kontroversielle </w:t>
      </w:r>
      <w:r w:rsidR="00EC7A70">
        <w:rPr>
          <w:lang w:val="nb-NO"/>
        </w:rPr>
        <w:t>fordelings</w:t>
      </w:r>
      <w:r w:rsidR="008D7C46">
        <w:rPr>
          <w:lang w:val="nb-NO"/>
        </w:rPr>
        <w:t xml:space="preserve">spørsmål avgjøres av en slik lov? </w:t>
      </w:r>
      <w:r w:rsidR="000D110B">
        <w:rPr>
          <w:lang w:val="nb-NO"/>
        </w:rPr>
        <w:t xml:space="preserve">Rett og slett det meste av politikken? </w:t>
      </w:r>
      <w:r w:rsidR="003452FD">
        <w:rPr>
          <w:lang w:val="nb-NO"/>
        </w:rPr>
        <w:lastRenderedPageBreak/>
        <w:t>Tvister</w:t>
      </w:r>
      <w:r w:rsidR="00E921FD">
        <w:rPr>
          <w:lang w:val="nb-NO"/>
        </w:rPr>
        <w:t xml:space="preserve"> kan da avgjøres ved en rask og skrift</w:t>
      </w:r>
      <w:r w:rsidR="00A55E9D">
        <w:rPr>
          <w:lang w:val="nb-NO"/>
        </w:rPr>
        <w:t xml:space="preserve">lig behandling i forvaltningen, av </w:t>
      </w:r>
      <w:r w:rsidR="00E921FD">
        <w:rPr>
          <w:lang w:val="nb-NO"/>
        </w:rPr>
        <w:t>Diskrimineringsnemnda</w:t>
      </w:r>
      <w:r w:rsidR="000F5474">
        <w:rPr>
          <w:lang w:val="nb-NO"/>
        </w:rPr>
        <w:t>.</w:t>
      </w:r>
      <w:r w:rsidR="000F5474">
        <w:rPr>
          <w:rStyle w:val="Fotnotereferanse"/>
          <w:lang w:val="nb-NO"/>
        </w:rPr>
        <w:footnoteReference w:id="4"/>
      </w:r>
      <w:r w:rsidR="000F5474">
        <w:rPr>
          <w:lang w:val="nb-NO"/>
        </w:rPr>
        <w:t xml:space="preserve"> </w:t>
      </w:r>
      <w:r w:rsidR="004E21B9">
        <w:rPr>
          <w:lang w:val="nb-NO"/>
        </w:rPr>
        <w:t>Det kan alltid argumenteres</w:t>
      </w:r>
      <w:r w:rsidR="00AE340A">
        <w:rPr>
          <w:lang w:val="nb-NO"/>
        </w:rPr>
        <w:t xml:space="preserve"> med at den som ikke får det</w:t>
      </w:r>
      <w:r w:rsidR="004E21B9">
        <w:rPr>
          <w:lang w:val="nb-NO"/>
        </w:rPr>
        <w:t xml:space="preserve"> hun ønsker, blir diskriminert i forhold til dem som får dette, for eksempel høyere lønn</w:t>
      </w:r>
      <w:r w:rsidR="00D46DC0">
        <w:rPr>
          <w:lang w:val="nb-NO"/>
        </w:rPr>
        <w:t xml:space="preserve"> eller beste karakter</w:t>
      </w:r>
      <w:r w:rsidR="004E21B9">
        <w:rPr>
          <w:lang w:val="nb-NO"/>
        </w:rPr>
        <w:t xml:space="preserve">. </w:t>
      </w:r>
      <w:r w:rsidR="00562BD2">
        <w:rPr>
          <w:lang w:val="nb-NO"/>
        </w:rPr>
        <w:t>Diskriminerings</w:t>
      </w:r>
      <w:r w:rsidR="004927F3">
        <w:rPr>
          <w:lang w:val="nb-NO"/>
        </w:rPr>
        <w:t>retten</w:t>
      </w:r>
      <w:r w:rsidR="00562BD2">
        <w:rPr>
          <w:lang w:val="nb-NO"/>
        </w:rPr>
        <w:t xml:space="preserve"> har et stort potensial </w:t>
      </w:r>
      <w:r w:rsidR="003E6DE4">
        <w:rPr>
          <w:lang w:val="nb-NO"/>
        </w:rPr>
        <w:t xml:space="preserve">for å overta de fleste politiske konflikter, hvis vi lar den gjøre dette. </w:t>
      </w:r>
    </w:p>
    <w:p w14:paraId="260E5742" w14:textId="1550A4CF" w:rsidR="00A77788" w:rsidRPr="00A77788" w:rsidRDefault="002D7082" w:rsidP="00A77788">
      <w:pPr>
        <w:pStyle w:val="Rentekst"/>
        <w:rPr>
          <w:rFonts w:ascii="Times New Roman" w:hAnsi="Times New Roman" w:cs="Times New Roman"/>
          <w:sz w:val="24"/>
          <w:szCs w:val="24"/>
          <w:lang w:val="nb-NO"/>
        </w:rPr>
      </w:pPr>
      <w:r>
        <w:rPr>
          <w:rFonts w:ascii="Times New Roman" w:hAnsi="Times New Roman" w:cs="Times New Roman"/>
          <w:sz w:val="24"/>
          <w:szCs w:val="24"/>
          <w:lang w:val="nb-NO"/>
        </w:rPr>
        <w:t xml:space="preserve">   Den har også potensial</w:t>
      </w:r>
      <w:r w:rsidR="00A77788">
        <w:rPr>
          <w:rFonts w:ascii="Times New Roman" w:hAnsi="Times New Roman" w:cs="Times New Roman"/>
          <w:sz w:val="24"/>
          <w:szCs w:val="24"/>
          <w:lang w:val="nb-NO"/>
        </w:rPr>
        <w:t xml:space="preserve"> for å prege de fleste rettslige konflikter, hvis vi lar den. Med Hellum og Strands ord</w:t>
      </w:r>
      <w:r w:rsidR="00FB566F">
        <w:rPr>
          <w:rFonts w:ascii="Times New Roman" w:hAnsi="Times New Roman" w:cs="Times New Roman"/>
          <w:sz w:val="24"/>
          <w:szCs w:val="24"/>
          <w:lang w:val="nb-NO"/>
        </w:rPr>
        <w:t xml:space="preserve"> (side 31)</w:t>
      </w:r>
      <w:r w:rsidR="00A77788">
        <w:rPr>
          <w:rFonts w:ascii="Times New Roman" w:hAnsi="Times New Roman" w:cs="Times New Roman"/>
          <w:sz w:val="24"/>
          <w:szCs w:val="24"/>
          <w:lang w:val="nb-NO"/>
        </w:rPr>
        <w:t>: «Likestillings- og diskrimineringsretten legger seg utenpå, utfordrer og griper inn i rettigheter som behandles innen øvrige rettsområder […].» De håper nok i hvert fall at det er slik. Et eksempel ser vi i HR-2022-350-A</w:t>
      </w:r>
      <w:r w:rsidR="00561576">
        <w:rPr>
          <w:rFonts w:ascii="Times New Roman" w:hAnsi="Times New Roman" w:cs="Times New Roman"/>
          <w:sz w:val="24"/>
          <w:szCs w:val="24"/>
          <w:lang w:val="nb-NO"/>
        </w:rPr>
        <w:t>,</w:t>
      </w:r>
      <w:r w:rsidR="00A77788">
        <w:rPr>
          <w:rFonts w:ascii="Times New Roman" w:hAnsi="Times New Roman" w:cs="Times New Roman"/>
          <w:sz w:val="24"/>
          <w:szCs w:val="24"/>
          <w:lang w:val="nb-NO"/>
        </w:rPr>
        <w:t xml:space="preserve"> fra februar 2022 (som ikke nevnes i denne boken, men i lovkommentaren), der en dyslektisk advokat krevde salær for 118 timer utenfor rettsmøte fordi han hadde lesevansker (ble skåret ned til 40 timer). Saken ble avgjort etter salærforskriftens § 7 om </w:t>
      </w:r>
      <w:r w:rsidR="00A77788" w:rsidRPr="00B13AFB">
        <w:rPr>
          <w:rFonts w:ascii="Times New Roman" w:hAnsi="Times New Roman" w:cs="Times New Roman"/>
          <w:sz w:val="24"/>
          <w:szCs w:val="24"/>
          <w:lang w:val="nb-NO"/>
        </w:rPr>
        <w:t>rimelig og nødvendig</w:t>
      </w:r>
      <w:r w:rsidR="00A77788">
        <w:rPr>
          <w:rFonts w:ascii="Times New Roman" w:hAnsi="Times New Roman" w:cs="Times New Roman"/>
          <w:sz w:val="24"/>
          <w:szCs w:val="24"/>
          <w:lang w:val="nb-NO"/>
        </w:rPr>
        <w:t xml:space="preserve"> tidsbruk. Advokaten hevdet subsidiært at nedskjæringen var i strid med </w:t>
      </w:r>
      <w:r w:rsidR="00A77788" w:rsidRPr="00337F1D">
        <w:rPr>
          <w:rFonts w:ascii="Times New Roman" w:hAnsi="Times New Roman" w:cs="Times New Roman"/>
          <w:sz w:val="24"/>
          <w:szCs w:val="24"/>
          <w:lang w:val="nb-NO"/>
        </w:rPr>
        <w:t>likestillings- og diskrimineringsloven § 8</w:t>
      </w:r>
      <w:r w:rsidR="00A77788">
        <w:rPr>
          <w:rFonts w:ascii="Times New Roman" w:hAnsi="Times New Roman" w:cs="Times New Roman"/>
          <w:sz w:val="24"/>
          <w:szCs w:val="24"/>
          <w:lang w:val="nb-NO"/>
        </w:rPr>
        <w:t xml:space="preserve"> om indirekte diskriminering. </w:t>
      </w:r>
      <w:r w:rsidR="00561576">
        <w:rPr>
          <w:rFonts w:ascii="Times New Roman" w:hAnsi="Times New Roman" w:cs="Times New Roman"/>
          <w:sz w:val="24"/>
          <w:szCs w:val="24"/>
          <w:lang w:val="nb-NO"/>
        </w:rPr>
        <w:t>Dette brukte Høyesterett hele 26</w:t>
      </w:r>
      <w:r w:rsidR="00A77788">
        <w:rPr>
          <w:rFonts w:ascii="Times New Roman" w:hAnsi="Times New Roman" w:cs="Times New Roman"/>
          <w:sz w:val="24"/>
          <w:szCs w:val="24"/>
          <w:lang w:val="nb-NO"/>
        </w:rPr>
        <w:t xml:space="preserve"> avsnitt på å </w:t>
      </w:r>
      <w:r w:rsidR="004A134A">
        <w:rPr>
          <w:rFonts w:ascii="Times New Roman" w:hAnsi="Times New Roman" w:cs="Times New Roman"/>
          <w:sz w:val="24"/>
          <w:szCs w:val="24"/>
          <w:lang w:val="nb-NO"/>
        </w:rPr>
        <w:t>forkaste</w:t>
      </w:r>
      <w:r w:rsidR="00B37080">
        <w:rPr>
          <w:rFonts w:ascii="Times New Roman" w:hAnsi="Times New Roman" w:cs="Times New Roman"/>
          <w:sz w:val="24"/>
          <w:szCs w:val="24"/>
          <w:lang w:val="nb-NO"/>
        </w:rPr>
        <w:t>;</w:t>
      </w:r>
      <w:r w:rsidR="00A77788">
        <w:rPr>
          <w:rFonts w:ascii="Times New Roman" w:hAnsi="Times New Roman" w:cs="Times New Roman"/>
          <w:sz w:val="24"/>
          <w:szCs w:val="24"/>
          <w:lang w:val="nb-NO"/>
        </w:rPr>
        <w:t xml:space="preserve"> en eventuell forskjellsbehandling var uansett lovlig (avsnitt 65). Til sammenligning ble det brukt 1</w:t>
      </w:r>
      <w:r w:rsidR="00E648DE">
        <w:rPr>
          <w:rFonts w:ascii="Times New Roman" w:hAnsi="Times New Roman" w:cs="Times New Roman"/>
          <w:sz w:val="24"/>
          <w:szCs w:val="24"/>
          <w:lang w:val="nb-NO"/>
        </w:rPr>
        <w:t>5</w:t>
      </w:r>
      <w:r w:rsidR="00A77788">
        <w:rPr>
          <w:rFonts w:ascii="Times New Roman" w:hAnsi="Times New Roman" w:cs="Times New Roman"/>
          <w:sz w:val="24"/>
          <w:szCs w:val="24"/>
          <w:lang w:val="nb-NO"/>
        </w:rPr>
        <w:t xml:space="preserve"> avsnitt på tolkningen av salærforskriften. Dette er en av få saker der Høyesterett går inn i diskrimineringsretten, så kanskje kan vi se det som en skriveøvelse? Det er allikevel vanskelig å svelge at et spørsmål som burde være opplagt, gis så mye plass i kjennelsen. </w:t>
      </w:r>
    </w:p>
    <w:p w14:paraId="0F3645F0" w14:textId="57489A0F" w:rsidR="00E63E89" w:rsidRDefault="00C1127D" w:rsidP="00562BD2">
      <w:pPr>
        <w:rPr>
          <w:lang w:val="nb-NO"/>
        </w:rPr>
      </w:pPr>
      <w:r>
        <w:rPr>
          <w:lang w:val="nb-NO"/>
        </w:rPr>
        <w:t xml:space="preserve">   </w:t>
      </w:r>
      <w:r w:rsidR="00CB579A">
        <w:rPr>
          <w:lang w:val="nb-NO"/>
        </w:rPr>
        <w:t>Utviklingen</w:t>
      </w:r>
      <w:r w:rsidR="00562BD2">
        <w:rPr>
          <w:lang w:val="nb-NO"/>
        </w:rPr>
        <w:t xml:space="preserve"> </w:t>
      </w:r>
      <w:r w:rsidR="00CB579A">
        <w:rPr>
          <w:lang w:val="nb-NO"/>
        </w:rPr>
        <w:t>startet</w:t>
      </w:r>
      <w:r w:rsidR="00562BD2">
        <w:rPr>
          <w:lang w:val="nb-NO"/>
        </w:rPr>
        <w:t xml:space="preserve"> med lov om likestilling mellom kjønnene i 1978. Deretter fikk vi særlover for </w:t>
      </w:r>
      <w:r w:rsidR="0072497F">
        <w:rPr>
          <w:lang w:val="nb-NO"/>
        </w:rPr>
        <w:t>flere</w:t>
      </w:r>
      <w:r w:rsidR="00562BD2">
        <w:rPr>
          <w:lang w:val="nb-NO"/>
        </w:rPr>
        <w:t xml:space="preserve"> diskrimineringsgrunnlag, før l</w:t>
      </w:r>
      <w:r w:rsidR="00562BD2" w:rsidRPr="00562BD2">
        <w:rPr>
          <w:lang w:val="nb-NO"/>
        </w:rPr>
        <w:t>ov om likestilling og forbud mot diskriminering</w:t>
      </w:r>
      <w:r w:rsidR="009C5AB3">
        <w:rPr>
          <w:lang w:val="nb-NO"/>
        </w:rPr>
        <w:t xml:space="preserve"> (nr 51/2017) </w:t>
      </w:r>
      <w:r w:rsidR="007F0E75">
        <w:rPr>
          <w:lang w:val="nb-NO"/>
        </w:rPr>
        <w:t>samlet de enkelte grunnlag</w:t>
      </w:r>
      <w:r w:rsidR="00562BD2">
        <w:rPr>
          <w:lang w:val="nb-NO"/>
        </w:rPr>
        <w:t xml:space="preserve"> i én lov: </w:t>
      </w:r>
      <w:r w:rsidR="00562BD2" w:rsidRPr="00562BD2">
        <w:rPr>
          <w:lang w:val="nb-NO"/>
        </w:rPr>
        <w:t xml:space="preserve">kjønn, graviditet, permisjon ved fødsel eller adopsjon, omsorgsoppgaver, etnisitet, religion, livssyn, funksjonsnedsettelse, seksuell orientering, </w:t>
      </w:r>
      <w:r w:rsidR="00562BD2">
        <w:rPr>
          <w:lang w:val="nb-NO"/>
        </w:rPr>
        <w:t xml:space="preserve">kjønnsidentitet, kjønnsuttrykk og </w:t>
      </w:r>
      <w:r w:rsidR="00562BD2" w:rsidRPr="00562BD2">
        <w:rPr>
          <w:lang w:val="nb-NO"/>
        </w:rPr>
        <w:t>alder</w:t>
      </w:r>
      <w:r w:rsidR="000F686E">
        <w:rPr>
          <w:lang w:val="nb-NO"/>
        </w:rPr>
        <w:t xml:space="preserve"> (§ 6)</w:t>
      </w:r>
      <w:r w:rsidR="00562BD2">
        <w:rPr>
          <w:lang w:val="nb-NO"/>
        </w:rPr>
        <w:t>. Dessuten har vi Grunnloven § 98 annet ledd fra 2014: «</w:t>
      </w:r>
      <w:r w:rsidR="00562BD2" w:rsidRPr="00562BD2">
        <w:rPr>
          <w:lang w:val="nb-NO"/>
        </w:rPr>
        <w:t>Intet menneske må utsettes for usaklig eller uforholdsmessig forskjellsbehandling</w:t>
      </w:r>
      <w:r w:rsidR="00562BD2">
        <w:rPr>
          <w:lang w:val="nb-NO"/>
        </w:rPr>
        <w:t xml:space="preserve">.» </w:t>
      </w:r>
      <w:r w:rsidR="00BB36D4">
        <w:rPr>
          <w:lang w:val="nb-NO"/>
        </w:rPr>
        <w:t xml:space="preserve">Grunnlovsteksten dekker tilsynelatende alle tenkelige diskrimineringsgrunnlag. Men </w:t>
      </w:r>
      <w:r w:rsidR="000F5474">
        <w:rPr>
          <w:lang w:val="nb-NO"/>
        </w:rPr>
        <w:t>grunnlag</w:t>
      </w:r>
      <w:r w:rsidR="00BB36D4">
        <w:rPr>
          <w:lang w:val="nb-NO"/>
        </w:rPr>
        <w:t xml:space="preserve"> som faller utenfor 2017-loven, for eksempel overvekt</w:t>
      </w:r>
      <w:r w:rsidR="003C6000">
        <w:rPr>
          <w:lang w:val="nb-NO"/>
        </w:rPr>
        <w:t xml:space="preserve"> i seg selv</w:t>
      </w:r>
      <w:r w:rsidR="00BB36D4">
        <w:rPr>
          <w:lang w:val="nb-NO"/>
        </w:rPr>
        <w:t>, kan ikke håndheve</w:t>
      </w:r>
      <w:r w:rsidR="00F7310C">
        <w:rPr>
          <w:lang w:val="nb-NO"/>
        </w:rPr>
        <w:t xml:space="preserve">s av Diskrimineringsnemnda. </w:t>
      </w:r>
      <w:r w:rsidR="00F65ABE">
        <w:rPr>
          <w:lang w:val="nb-NO"/>
        </w:rPr>
        <w:t>Formodentlig kan de håndheves av domstolene</w:t>
      </w:r>
      <w:r w:rsidR="00EF753A">
        <w:rPr>
          <w:lang w:val="nb-NO"/>
        </w:rPr>
        <w:t>, som i så fall må ta stilling til hvilke diskrimineringsgrunnlag som er beskyttet av Grunnloven § 98</w:t>
      </w:r>
      <w:r w:rsidR="00F65ABE">
        <w:rPr>
          <w:lang w:val="nb-NO"/>
        </w:rPr>
        <w:t>.</w:t>
      </w:r>
      <w:r w:rsidR="00503AAE">
        <w:rPr>
          <w:rStyle w:val="Fotnotereferanse"/>
          <w:lang w:val="nb-NO"/>
        </w:rPr>
        <w:footnoteReference w:id="5"/>
      </w:r>
      <w:r w:rsidR="00F65ABE">
        <w:rPr>
          <w:lang w:val="nb-NO"/>
        </w:rPr>
        <w:t xml:space="preserve"> </w:t>
      </w:r>
    </w:p>
    <w:p w14:paraId="3025BC30" w14:textId="1A7C0A93" w:rsidR="003D48AC" w:rsidRDefault="005C50A6" w:rsidP="005E47CC">
      <w:pPr>
        <w:rPr>
          <w:lang w:val="nb-NO"/>
        </w:rPr>
      </w:pPr>
      <w:r>
        <w:rPr>
          <w:lang w:val="nb-NO"/>
        </w:rPr>
        <w:t xml:space="preserve">   </w:t>
      </w:r>
      <w:r w:rsidR="0068528E">
        <w:rPr>
          <w:lang w:val="nb-NO"/>
        </w:rPr>
        <w:t>D</w:t>
      </w:r>
      <w:r>
        <w:rPr>
          <w:lang w:val="nb-NO"/>
        </w:rPr>
        <w:t>iskriminering</w:t>
      </w:r>
      <w:r w:rsidR="0068528E">
        <w:rPr>
          <w:lang w:val="nb-NO"/>
        </w:rPr>
        <w:t xml:space="preserve"> (ulovlig forskjellbehandling)</w:t>
      </w:r>
      <w:r>
        <w:rPr>
          <w:lang w:val="nb-NO"/>
        </w:rPr>
        <w:t xml:space="preserve"> defineres i §§ 6-9 i l</w:t>
      </w:r>
      <w:r w:rsidR="0018383A" w:rsidRPr="00B452D7">
        <w:rPr>
          <w:lang w:val="nb-NO"/>
        </w:rPr>
        <w:t>ikestillings- og diskrimineringsloven</w:t>
      </w:r>
      <w:r w:rsidR="0018383A">
        <w:rPr>
          <w:lang w:val="nb-NO"/>
        </w:rPr>
        <w:t xml:space="preserve"> fra 2017</w:t>
      </w:r>
      <w:r w:rsidR="005835AC">
        <w:rPr>
          <w:lang w:val="nb-NO"/>
        </w:rPr>
        <w:t>.</w:t>
      </w:r>
      <w:r w:rsidR="0018383A">
        <w:rPr>
          <w:lang w:val="nb-NO"/>
        </w:rPr>
        <w:t xml:space="preserve"> </w:t>
      </w:r>
      <w:r w:rsidR="005835AC">
        <w:rPr>
          <w:lang w:val="nb-NO"/>
        </w:rPr>
        <w:t>D</w:t>
      </w:r>
      <w:r w:rsidR="0018383A" w:rsidRPr="00B452D7">
        <w:rPr>
          <w:lang w:val="nb-NO"/>
        </w:rPr>
        <w:t>irekte eller indirekte forskjellsbehandling</w:t>
      </w:r>
      <w:r w:rsidR="004B247B">
        <w:rPr>
          <w:lang w:val="nb-NO"/>
        </w:rPr>
        <w:t xml:space="preserve"> innebærer</w:t>
      </w:r>
      <w:r w:rsidR="0018383A">
        <w:rPr>
          <w:lang w:val="nb-NO"/>
        </w:rPr>
        <w:t xml:space="preserve"> at en person behandles </w:t>
      </w:r>
      <w:r w:rsidR="00762DE6">
        <w:rPr>
          <w:lang w:val="nb-NO"/>
        </w:rPr>
        <w:t xml:space="preserve">eller stilles </w:t>
      </w:r>
      <w:r w:rsidR="0018383A">
        <w:rPr>
          <w:lang w:val="nb-NO"/>
        </w:rPr>
        <w:t>dårligere enn andre.</w:t>
      </w:r>
      <w:r w:rsidR="00324FAC">
        <w:rPr>
          <w:lang w:val="nb-NO"/>
        </w:rPr>
        <w:t xml:space="preserve"> </w:t>
      </w:r>
      <w:r w:rsidR="00BF492C">
        <w:rPr>
          <w:lang w:val="nb-NO"/>
        </w:rPr>
        <w:t xml:space="preserve">I fly-eksemplet må alle som trenger to plasser, kjøpe to seter. Favorisering av </w:t>
      </w:r>
      <w:r w:rsidR="00D04AFB">
        <w:rPr>
          <w:lang w:val="nb-NO"/>
        </w:rPr>
        <w:t xml:space="preserve">enkelte </w:t>
      </w:r>
      <w:r w:rsidR="00DD41C3">
        <w:rPr>
          <w:lang w:val="nb-NO"/>
        </w:rPr>
        <w:t>overvektige</w:t>
      </w:r>
      <w:r w:rsidR="00BF492C">
        <w:rPr>
          <w:lang w:val="nb-NO"/>
        </w:rPr>
        <w:t xml:space="preserve"> kan </w:t>
      </w:r>
      <w:r w:rsidR="00443E29">
        <w:rPr>
          <w:lang w:val="nb-NO"/>
        </w:rPr>
        <w:t>neppe</w:t>
      </w:r>
      <w:r w:rsidR="00BF492C">
        <w:rPr>
          <w:lang w:val="nb-NO"/>
        </w:rPr>
        <w:t xml:space="preserve"> forsvares </w:t>
      </w:r>
      <w:r w:rsidR="008E0930">
        <w:rPr>
          <w:lang w:val="nb-NO"/>
        </w:rPr>
        <w:t>rent diskrimineringsrettslig</w:t>
      </w:r>
      <w:r w:rsidR="00BF492C">
        <w:rPr>
          <w:lang w:val="nb-NO"/>
        </w:rPr>
        <w:t>.</w:t>
      </w:r>
      <w:r w:rsidR="00496DAC">
        <w:rPr>
          <w:rStyle w:val="Fotnotereferanse"/>
          <w:lang w:val="nb-NO"/>
        </w:rPr>
        <w:footnoteReference w:id="6"/>
      </w:r>
      <w:r w:rsidR="00BF492C">
        <w:rPr>
          <w:lang w:val="nb-NO"/>
        </w:rPr>
        <w:t xml:space="preserve"> Det var da også transportlov</w:t>
      </w:r>
      <w:r w:rsidR="00350893">
        <w:rPr>
          <w:lang w:val="nb-NO"/>
        </w:rPr>
        <w:t>givningen</w:t>
      </w:r>
      <w:r w:rsidR="00BF492C">
        <w:rPr>
          <w:lang w:val="nb-NO"/>
        </w:rPr>
        <w:t xml:space="preserve"> som a</w:t>
      </w:r>
      <w:r w:rsidR="00832F97">
        <w:rPr>
          <w:lang w:val="nb-NO"/>
        </w:rPr>
        <w:t>vg</w:t>
      </w:r>
      <w:r w:rsidR="001C2644">
        <w:rPr>
          <w:lang w:val="nb-NO"/>
        </w:rPr>
        <w:t>jorde den kanadiske saken</w:t>
      </w:r>
      <w:r w:rsidR="003D48AC">
        <w:rPr>
          <w:lang w:val="nb-NO"/>
        </w:rPr>
        <w:t xml:space="preserve">. </w:t>
      </w:r>
    </w:p>
    <w:p w14:paraId="32B15987" w14:textId="77777777" w:rsidR="005E47CC" w:rsidRPr="008C1422" w:rsidRDefault="003D48AC" w:rsidP="005E47CC">
      <w:pPr>
        <w:rPr>
          <w:sz w:val="20"/>
          <w:szCs w:val="20"/>
          <w:lang w:val="nb-NO"/>
        </w:rPr>
      </w:pPr>
      <w:r>
        <w:rPr>
          <w:lang w:val="nb-NO"/>
        </w:rPr>
        <w:t xml:space="preserve">   </w:t>
      </w:r>
      <w:r w:rsidRPr="003D48AC">
        <w:rPr>
          <w:lang w:val="nb-NO"/>
        </w:rPr>
        <w:t xml:space="preserve">Viktigst i likestillings- og diskrimineringsloven </w:t>
      </w:r>
      <w:r>
        <w:rPr>
          <w:lang w:val="nb-NO"/>
        </w:rPr>
        <w:t xml:space="preserve">er nok </w:t>
      </w:r>
      <w:r w:rsidR="005E47CC">
        <w:rPr>
          <w:lang w:val="nb-NO"/>
        </w:rPr>
        <w:t xml:space="preserve">§ </w:t>
      </w:r>
      <w:r w:rsidR="005835AC">
        <w:rPr>
          <w:lang w:val="nb-NO"/>
        </w:rPr>
        <w:t>9</w:t>
      </w:r>
      <w:r w:rsidR="005E47CC">
        <w:rPr>
          <w:lang w:val="nb-NO"/>
        </w:rPr>
        <w:t xml:space="preserve"> om lovlig forskjellsbehandling: </w:t>
      </w:r>
      <w:r w:rsidR="005835AC">
        <w:rPr>
          <w:lang w:val="nb-NO"/>
        </w:rPr>
        <w:t xml:space="preserve">En kan forskjellsbehandle hvis det har et </w:t>
      </w:r>
      <w:r w:rsidR="005E47CC">
        <w:rPr>
          <w:lang w:val="nb-NO"/>
        </w:rPr>
        <w:t xml:space="preserve">saklig formål, </w:t>
      </w:r>
      <w:r w:rsidR="005835AC">
        <w:rPr>
          <w:lang w:val="nb-NO"/>
        </w:rPr>
        <w:t xml:space="preserve">er </w:t>
      </w:r>
      <w:r w:rsidR="005E47CC">
        <w:rPr>
          <w:lang w:val="nb-NO"/>
        </w:rPr>
        <w:t xml:space="preserve">nødvendig for formålet og </w:t>
      </w:r>
      <w:r w:rsidR="005E47CC" w:rsidRPr="00F87113">
        <w:rPr>
          <w:lang w:val="nb-NO"/>
        </w:rPr>
        <w:t>ikke er</w:t>
      </w:r>
      <w:r w:rsidR="007E1217">
        <w:rPr>
          <w:lang w:val="nb-NO"/>
        </w:rPr>
        <w:t xml:space="preserve"> uforholdsmessig inngripende</w:t>
      </w:r>
      <w:r w:rsidR="005E47CC">
        <w:rPr>
          <w:lang w:val="nb-NO"/>
        </w:rPr>
        <w:t xml:space="preserve">. </w:t>
      </w:r>
    </w:p>
    <w:p w14:paraId="58C44C95" w14:textId="77777777" w:rsidR="005E47CC" w:rsidRDefault="005B227B" w:rsidP="0018383A">
      <w:pPr>
        <w:rPr>
          <w:lang w:val="nb-NO"/>
        </w:rPr>
      </w:pPr>
      <w:r>
        <w:rPr>
          <w:lang w:val="nb-NO"/>
        </w:rPr>
        <w:t xml:space="preserve">   </w:t>
      </w:r>
      <w:r w:rsidR="00100F6A">
        <w:rPr>
          <w:lang w:val="nb-NO"/>
        </w:rPr>
        <w:t>Paragrafene 7 til 9</w:t>
      </w:r>
      <w:r w:rsidR="007D565D">
        <w:rPr>
          <w:lang w:val="nb-NO"/>
        </w:rPr>
        <w:t xml:space="preserve"> er trekkspill-bestemmelser. </w:t>
      </w:r>
      <w:r>
        <w:rPr>
          <w:lang w:val="nb-NO"/>
        </w:rPr>
        <w:t>Hvem en skal sammenligne med og hva som er «</w:t>
      </w:r>
      <w:r w:rsidRPr="00305B59">
        <w:rPr>
          <w:lang w:val="nb-NO"/>
        </w:rPr>
        <w:t>uforholdsmessig inngripende</w:t>
      </w:r>
      <w:r>
        <w:rPr>
          <w:lang w:val="nb-NO"/>
        </w:rPr>
        <w:t xml:space="preserve">», er </w:t>
      </w:r>
      <w:r w:rsidR="00462E1D">
        <w:rPr>
          <w:lang w:val="nb-NO"/>
        </w:rPr>
        <w:t>så skjønnsmessig</w:t>
      </w:r>
      <w:r>
        <w:rPr>
          <w:lang w:val="nb-NO"/>
        </w:rPr>
        <w:t xml:space="preserve"> at nær sagt ethvert resultat kan forsvares innenfor lovens ordlyd. </w:t>
      </w:r>
      <w:r w:rsidR="00385476">
        <w:rPr>
          <w:lang w:val="nb-NO"/>
        </w:rPr>
        <w:t>Vurdering av rimelighet blir avgjørende.</w:t>
      </w:r>
      <w:r w:rsidR="00385476">
        <w:rPr>
          <w:rStyle w:val="Fotnotereferanse"/>
          <w:lang w:val="nb-NO"/>
        </w:rPr>
        <w:footnoteReference w:id="7"/>
      </w:r>
      <w:r w:rsidR="00385476">
        <w:rPr>
          <w:lang w:val="nb-NO"/>
        </w:rPr>
        <w:t xml:space="preserve"> </w:t>
      </w:r>
      <w:r w:rsidR="00D475D6">
        <w:rPr>
          <w:lang w:val="nb-NO"/>
        </w:rPr>
        <w:t xml:space="preserve">De samme </w:t>
      </w:r>
      <w:r w:rsidR="00F51F06">
        <w:rPr>
          <w:lang w:val="nb-NO"/>
        </w:rPr>
        <w:t xml:space="preserve">løse </w:t>
      </w:r>
      <w:r w:rsidR="00D475D6">
        <w:rPr>
          <w:lang w:val="nb-NO"/>
        </w:rPr>
        <w:t xml:space="preserve">kriteriene vil jo gjelde ved en domstolsbehandling, men den vil være </w:t>
      </w:r>
      <w:r w:rsidR="0039614F">
        <w:rPr>
          <w:lang w:val="nb-NO"/>
        </w:rPr>
        <w:t>adskillig</w:t>
      </w:r>
      <w:r w:rsidR="00D475D6">
        <w:rPr>
          <w:lang w:val="nb-NO"/>
        </w:rPr>
        <w:t xml:space="preserve"> grundigere enn i nemnda. </w:t>
      </w:r>
    </w:p>
    <w:p w14:paraId="7DBAE756" w14:textId="77777777" w:rsidR="009A15ED" w:rsidRDefault="00C1127D" w:rsidP="009A15ED">
      <w:pPr>
        <w:rPr>
          <w:lang w:val="nb-NO"/>
        </w:rPr>
      </w:pPr>
      <w:r>
        <w:rPr>
          <w:lang w:val="nb-NO"/>
        </w:rPr>
        <w:t xml:space="preserve">   Et </w:t>
      </w:r>
      <w:r w:rsidR="005E489F">
        <w:rPr>
          <w:lang w:val="nb-NO"/>
        </w:rPr>
        <w:t xml:space="preserve">sentralt </w:t>
      </w:r>
      <w:r>
        <w:rPr>
          <w:lang w:val="nb-NO"/>
        </w:rPr>
        <w:t xml:space="preserve">spørsmål er </w:t>
      </w:r>
      <w:r w:rsidR="00007B02">
        <w:rPr>
          <w:lang w:val="nb-NO"/>
        </w:rPr>
        <w:t xml:space="preserve">altså </w:t>
      </w:r>
      <w:r w:rsidRPr="00E02EAA">
        <w:rPr>
          <w:lang w:val="nb-NO"/>
        </w:rPr>
        <w:t>hvilken gruppe vi velger å sammenl</w:t>
      </w:r>
      <w:r w:rsidR="00D01DCF" w:rsidRPr="00E02EAA">
        <w:rPr>
          <w:lang w:val="nb-NO"/>
        </w:rPr>
        <w:t xml:space="preserve">igne </w:t>
      </w:r>
      <w:r w:rsidR="006831E8" w:rsidRPr="00E02EAA">
        <w:rPr>
          <w:lang w:val="nb-NO"/>
        </w:rPr>
        <w:t>klageren</w:t>
      </w:r>
      <w:r w:rsidRPr="00E02EAA">
        <w:rPr>
          <w:lang w:val="nb-NO"/>
        </w:rPr>
        <w:t xml:space="preserve"> med.</w:t>
      </w:r>
      <w:r>
        <w:rPr>
          <w:lang w:val="nb-NO"/>
        </w:rPr>
        <w:t xml:space="preserve"> </w:t>
      </w:r>
      <w:r w:rsidR="009A15ED">
        <w:rPr>
          <w:lang w:val="nb-NO"/>
        </w:rPr>
        <w:t xml:space="preserve">Hvilke «andre» er det </w:t>
      </w:r>
      <w:r w:rsidR="005E489F">
        <w:rPr>
          <w:lang w:val="nb-NO"/>
        </w:rPr>
        <w:t>loven sikter til i §§ 7 og 8</w:t>
      </w:r>
      <w:r w:rsidR="009A15ED">
        <w:rPr>
          <w:lang w:val="nb-NO"/>
        </w:rPr>
        <w:t>?</w:t>
      </w:r>
      <w:r w:rsidR="000D4E8F">
        <w:rPr>
          <w:lang w:val="nb-NO"/>
        </w:rPr>
        <w:t xml:space="preserve"> Opprinnelig handlet dette primært</w:t>
      </w:r>
      <w:r w:rsidR="00B326D8">
        <w:rPr>
          <w:lang w:val="nb-NO"/>
        </w:rPr>
        <w:t xml:space="preserve"> om at kvinner ble behandlet dårligere enn menn fordi de var kvinner. </w:t>
      </w:r>
      <w:r w:rsidR="008839AF">
        <w:rPr>
          <w:lang w:val="nb-NO"/>
        </w:rPr>
        <w:t xml:space="preserve">Sammenligningsgruppen var entydig. </w:t>
      </w:r>
      <w:r w:rsidR="00F44BE3">
        <w:rPr>
          <w:lang w:val="nb-NO"/>
        </w:rPr>
        <w:t xml:space="preserve">Nå </w:t>
      </w:r>
      <w:r w:rsidR="00FB4EEC">
        <w:rPr>
          <w:lang w:val="nb-NO"/>
        </w:rPr>
        <w:t>kan det</w:t>
      </w:r>
      <w:r w:rsidR="008839AF">
        <w:rPr>
          <w:lang w:val="nb-NO"/>
        </w:rPr>
        <w:t>, ut fra praksis,</w:t>
      </w:r>
      <w:r w:rsidR="00FB4EEC">
        <w:rPr>
          <w:lang w:val="nb-NO"/>
        </w:rPr>
        <w:t xml:space="preserve"> se ut som om </w:t>
      </w:r>
      <w:r w:rsidR="007C1DC0">
        <w:rPr>
          <w:lang w:val="nb-NO"/>
        </w:rPr>
        <w:t>gruppen velges fritt</w:t>
      </w:r>
      <w:r w:rsidR="00F44BE3">
        <w:rPr>
          <w:lang w:val="nb-NO"/>
        </w:rPr>
        <w:t xml:space="preserve"> ut fra hvilket resultat man ønsker. </w:t>
      </w:r>
    </w:p>
    <w:p w14:paraId="0649CE13" w14:textId="3620532D" w:rsidR="00494953" w:rsidRPr="00494953" w:rsidRDefault="00EB7D55" w:rsidP="00494953">
      <w:pPr>
        <w:rPr>
          <w:lang w:val="nb-NO"/>
        </w:rPr>
      </w:pPr>
      <w:r>
        <w:rPr>
          <w:lang w:val="nb-NO"/>
        </w:rPr>
        <w:t xml:space="preserve">   </w:t>
      </w:r>
      <w:r w:rsidR="007161BE">
        <w:rPr>
          <w:lang w:val="nb-NO"/>
        </w:rPr>
        <w:t>Forarbeidene</w:t>
      </w:r>
      <w:r w:rsidR="00494953" w:rsidRPr="00494953">
        <w:rPr>
          <w:lang w:val="nb-NO"/>
        </w:rPr>
        <w:t xml:space="preserve"> </w:t>
      </w:r>
      <w:r w:rsidR="003B029D">
        <w:rPr>
          <w:lang w:val="nb-NO"/>
        </w:rPr>
        <w:t>taler om</w:t>
      </w:r>
      <w:r w:rsidR="00464C11">
        <w:rPr>
          <w:lang w:val="nb-NO"/>
        </w:rPr>
        <w:t>:</w:t>
      </w:r>
      <w:r w:rsidR="003B029D">
        <w:rPr>
          <w:lang w:val="nb-NO"/>
        </w:rPr>
        <w:t xml:space="preserve"> «[…]</w:t>
      </w:r>
      <w:r w:rsidR="003B029D" w:rsidRPr="003B029D">
        <w:rPr>
          <w:lang w:val="nb-NO"/>
        </w:rPr>
        <w:t xml:space="preserve"> andre det er naturlig å sammenligne seg med. Hvorvidt det foreligger en sammenlignbar situasjon, beror på en konkret vurdering.»</w:t>
      </w:r>
      <w:r w:rsidR="007161BE">
        <w:rPr>
          <w:rStyle w:val="Fotnotereferanse"/>
          <w:lang w:val="nb-NO"/>
        </w:rPr>
        <w:footnoteReference w:id="8"/>
      </w:r>
      <w:r w:rsidR="00ED6B40">
        <w:rPr>
          <w:lang w:val="nb-NO"/>
        </w:rPr>
        <w:t xml:space="preserve"> </w:t>
      </w:r>
    </w:p>
    <w:p w14:paraId="58735DE2" w14:textId="6E6901E2" w:rsidR="00E45D9D" w:rsidRDefault="006C30AB" w:rsidP="000F6350">
      <w:pPr>
        <w:rPr>
          <w:lang w:val="nb-NO"/>
        </w:rPr>
      </w:pPr>
      <w:r w:rsidRPr="00FB74E5">
        <w:rPr>
          <w:lang w:val="nb-NO"/>
        </w:rPr>
        <w:t xml:space="preserve">   </w:t>
      </w:r>
      <w:r w:rsidR="00EB427C">
        <w:rPr>
          <w:lang w:val="nb-NO"/>
        </w:rPr>
        <w:t xml:space="preserve">Et par lagmannsrettsdommer </w:t>
      </w:r>
      <w:r w:rsidR="00E44B8F">
        <w:rPr>
          <w:lang w:val="nb-NO"/>
        </w:rPr>
        <w:t xml:space="preserve">fra 2020 og 2021 </w:t>
      </w:r>
      <w:r w:rsidR="00F21E0D">
        <w:rPr>
          <w:lang w:val="nb-NO"/>
        </w:rPr>
        <w:t>illustrerer at synet på hva som er</w:t>
      </w:r>
      <w:r w:rsidR="00457DDB">
        <w:rPr>
          <w:lang w:val="nb-NO"/>
        </w:rPr>
        <w:t xml:space="preserve"> et</w:t>
      </w:r>
      <w:r w:rsidR="00F21E0D">
        <w:rPr>
          <w:lang w:val="nb-NO"/>
        </w:rPr>
        <w:t xml:space="preserve"> </w:t>
      </w:r>
      <w:r w:rsidR="001317ED">
        <w:rPr>
          <w:lang w:val="nb-NO"/>
        </w:rPr>
        <w:t>«</w:t>
      </w:r>
      <w:r w:rsidR="00F21E0D">
        <w:rPr>
          <w:lang w:val="nb-NO"/>
        </w:rPr>
        <w:t>naturlig</w:t>
      </w:r>
      <w:r w:rsidR="00733D47">
        <w:rPr>
          <w:lang w:val="nb-NO"/>
        </w:rPr>
        <w:t>» sammenligningsgrunnlag</w:t>
      </w:r>
      <w:r w:rsidR="00397889">
        <w:rPr>
          <w:lang w:val="nb-NO"/>
        </w:rPr>
        <w:t>, blir oppfattet ulikt</w:t>
      </w:r>
      <w:r w:rsidR="00733D47">
        <w:rPr>
          <w:lang w:val="nb-NO"/>
        </w:rPr>
        <w:t xml:space="preserve">. </w:t>
      </w:r>
      <w:r w:rsidR="003726B4">
        <w:rPr>
          <w:lang w:val="nb-NO"/>
        </w:rPr>
        <w:t xml:space="preserve">Begge dommer gjaldt krav om erstatning på grunn av det tidligere administrative </w:t>
      </w:r>
      <w:r w:rsidR="008274D3">
        <w:rPr>
          <w:lang w:val="nb-NO"/>
        </w:rPr>
        <w:t>vilkåret</w:t>
      </w:r>
      <w:r w:rsidR="003726B4">
        <w:rPr>
          <w:lang w:val="nb-NO"/>
        </w:rPr>
        <w:t xml:space="preserve"> om sterilisering før juridisk kjønnsskifte</w:t>
      </w:r>
      <w:r w:rsidR="009B2E20">
        <w:rPr>
          <w:lang w:val="nb-NO"/>
        </w:rPr>
        <w:t>. K</w:t>
      </w:r>
      <w:r w:rsidR="00863EF1">
        <w:rPr>
          <w:lang w:val="nb-NO"/>
        </w:rPr>
        <w:t>ravene ble forkastet</w:t>
      </w:r>
      <w:r w:rsidR="00E97037">
        <w:rPr>
          <w:lang w:val="nb-NO"/>
        </w:rPr>
        <w:t xml:space="preserve">. Forut for disse sakene hadde </w:t>
      </w:r>
      <w:r w:rsidR="00E97037" w:rsidRPr="001317ED">
        <w:rPr>
          <w:lang w:val="nb-NO"/>
        </w:rPr>
        <w:t>Likestillings- og diskrimineringsombudet</w:t>
      </w:r>
      <w:r w:rsidR="00E97037">
        <w:rPr>
          <w:lang w:val="nb-NO"/>
        </w:rPr>
        <w:t xml:space="preserve"> i 2014 avgitt en uttalelse om at steriliseringsvilkåret utgjorde ulovlig</w:t>
      </w:r>
      <w:r w:rsidR="006244CD">
        <w:rPr>
          <w:lang w:val="nb-NO"/>
        </w:rPr>
        <w:t xml:space="preserve"> indirekte</w:t>
      </w:r>
      <w:r w:rsidR="00E97037">
        <w:rPr>
          <w:lang w:val="nb-NO"/>
        </w:rPr>
        <w:t xml:space="preserve"> forskjellsbehandling av transpersoner.</w:t>
      </w:r>
      <w:r w:rsidR="00E97037">
        <w:rPr>
          <w:rStyle w:val="Fotnotereferanse"/>
          <w:lang w:val="nb-NO"/>
        </w:rPr>
        <w:footnoteReference w:id="9"/>
      </w:r>
      <w:r w:rsidR="00B36608">
        <w:rPr>
          <w:lang w:val="nb-NO"/>
        </w:rPr>
        <w:t xml:space="preserve"> O</w:t>
      </w:r>
      <w:r w:rsidR="008274D3">
        <w:rPr>
          <w:lang w:val="nb-NO"/>
        </w:rPr>
        <w:t>mbudet</w:t>
      </w:r>
      <w:r w:rsidR="00B36608">
        <w:rPr>
          <w:lang w:val="nb-NO"/>
        </w:rPr>
        <w:t xml:space="preserve"> skrev</w:t>
      </w:r>
      <w:r w:rsidR="008274D3">
        <w:rPr>
          <w:lang w:val="nb-NO"/>
        </w:rPr>
        <w:t>: «</w:t>
      </w:r>
      <w:r w:rsidR="008274D3" w:rsidRPr="008274D3">
        <w:rPr>
          <w:lang w:val="nb-NO"/>
        </w:rPr>
        <w:t xml:space="preserve">Praksisen med å ta utgangspunkt i det biologiske kjønnet </w:t>
      </w:r>
      <w:r w:rsidR="008274D3">
        <w:rPr>
          <w:lang w:val="nb-NO"/>
        </w:rPr>
        <w:t xml:space="preserve">[ved folkeregistreringen] </w:t>
      </w:r>
      <w:r w:rsidR="008274D3" w:rsidRPr="008274D3">
        <w:rPr>
          <w:lang w:val="nb-NO"/>
        </w:rPr>
        <w:t>er likt for hele befolkningen, men slår ulikt ut for den gruppen der det ikke er samsvar mellom biologisk kjønn og kjønnsidentiteten.</w:t>
      </w:r>
      <w:r w:rsidR="008274D3">
        <w:rPr>
          <w:lang w:val="nb-NO"/>
        </w:rPr>
        <w:t xml:space="preserve">» </w:t>
      </w:r>
      <w:r w:rsidR="0073374A">
        <w:rPr>
          <w:lang w:val="nb-NO"/>
        </w:rPr>
        <w:t>Her var s</w:t>
      </w:r>
      <w:r w:rsidR="00075F4B">
        <w:rPr>
          <w:lang w:val="nb-NO"/>
        </w:rPr>
        <w:t>ammenligningsgruppen flertallet av befolkningen</w:t>
      </w:r>
      <w:r w:rsidR="00FD5854">
        <w:rPr>
          <w:lang w:val="nb-NO"/>
        </w:rPr>
        <w:t xml:space="preserve">. </w:t>
      </w:r>
    </w:p>
    <w:p w14:paraId="5CE57CAB" w14:textId="77777777" w:rsidR="008D7134" w:rsidRDefault="00E45D9D" w:rsidP="000F6350">
      <w:pPr>
        <w:rPr>
          <w:lang w:val="nb-NO"/>
        </w:rPr>
      </w:pPr>
      <w:r>
        <w:rPr>
          <w:lang w:val="nb-NO"/>
        </w:rPr>
        <w:t xml:space="preserve">   </w:t>
      </w:r>
      <w:r w:rsidR="00710BAA">
        <w:rPr>
          <w:lang w:val="nb-NO"/>
        </w:rPr>
        <w:t>Noe a</w:t>
      </w:r>
      <w:r>
        <w:rPr>
          <w:lang w:val="nb-NO"/>
        </w:rPr>
        <w:t>nnerledes så</w:t>
      </w:r>
      <w:r w:rsidR="003E1E37">
        <w:rPr>
          <w:lang w:val="nb-NO"/>
        </w:rPr>
        <w:t xml:space="preserve"> retten på det i den første lagmannsrettssaken, </w:t>
      </w:r>
      <w:r w:rsidR="008D7134" w:rsidRPr="003E1E37">
        <w:rPr>
          <w:lang w:val="nb-NO"/>
        </w:rPr>
        <w:t>LB-2018-154220</w:t>
      </w:r>
      <w:r w:rsidR="003E1E37">
        <w:rPr>
          <w:lang w:val="nb-NO"/>
        </w:rPr>
        <w:t xml:space="preserve">. Den </w:t>
      </w:r>
      <w:r w:rsidR="00862C72">
        <w:rPr>
          <w:lang w:val="nb-NO"/>
        </w:rPr>
        <w:t>gjaldt</w:t>
      </w:r>
      <w:r w:rsidR="008D7134">
        <w:rPr>
          <w:lang w:val="nb-NO"/>
        </w:rPr>
        <w:t xml:space="preserve"> </w:t>
      </w:r>
      <w:r w:rsidR="00126157">
        <w:rPr>
          <w:lang w:val="nb-NO"/>
        </w:rPr>
        <w:t>A, en m</w:t>
      </w:r>
      <w:r w:rsidR="008D7134">
        <w:rPr>
          <w:lang w:val="nb-NO"/>
        </w:rPr>
        <w:t>ann som ikke hadde sterilisert seg</w:t>
      </w:r>
      <w:r w:rsidR="00862C72">
        <w:rPr>
          <w:lang w:val="nb-NO"/>
        </w:rPr>
        <w:t xml:space="preserve"> </w:t>
      </w:r>
      <w:r w:rsidR="00C5248E">
        <w:rPr>
          <w:lang w:val="nb-NO"/>
        </w:rPr>
        <w:t>og</w:t>
      </w:r>
      <w:r w:rsidR="00862C72">
        <w:rPr>
          <w:lang w:val="nb-NO"/>
        </w:rPr>
        <w:t xml:space="preserve"> som hevdet å være d</w:t>
      </w:r>
      <w:r w:rsidR="009D1948">
        <w:rPr>
          <w:lang w:val="nb-NO"/>
        </w:rPr>
        <w:t>iskriminert</w:t>
      </w:r>
      <w:r w:rsidR="001B21F8">
        <w:rPr>
          <w:lang w:val="nb-NO"/>
        </w:rPr>
        <w:t xml:space="preserve"> fordi han ikke fikk omregistrert seg til kvinne</w:t>
      </w:r>
      <w:r w:rsidR="008D7134">
        <w:rPr>
          <w:lang w:val="nb-NO"/>
        </w:rPr>
        <w:t>.</w:t>
      </w:r>
      <w:r w:rsidR="00862C72">
        <w:rPr>
          <w:lang w:val="nb-NO"/>
        </w:rPr>
        <w:t xml:space="preserve"> </w:t>
      </w:r>
      <w:r w:rsidR="003119FA">
        <w:rPr>
          <w:lang w:val="nb-NO"/>
        </w:rPr>
        <w:t>Borgarting lagmannsrett mente</w:t>
      </w:r>
      <w:r w:rsidR="000F6350">
        <w:rPr>
          <w:lang w:val="nb-NO"/>
        </w:rPr>
        <w:t>, i relasjon til indirekte diskriminering, at A måtte sammenlignes med kvinner som ikke ønsket å endre juridisk kjønn. Gjenno</w:t>
      </w:r>
      <w:r w:rsidR="00D73BFA">
        <w:rPr>
          <w:lang w:val="nb-NO"/>
        </w:rPr>
        <w:t>m et intrikat resonnement kom</w:t>
      </w:r>
      <w:r w:rsidR="000F6350">
        <w:rPr>
          <w:lang w:val="nb-NO"/>
        </w:rPr>
        <w:t xml:space="preserve"> man frem til at A var forskjellsbehandlet </w:t>
      </w:r>
      <w:r>
        <w:rPr>
          <w:lang w:val="nb-NO"/>
        </w:rPr>
        <w:t>ut fra</w:t>
      </w:r>
      <w:r w:rsidR="000F6350">
        <w:rPr>
          <w:lang w:val="nb-NO"/>
        </w:rPr>
        <w:t xml:space="preserve"> biologisk kjønn.</w:t>
      </w:r>
      <w:r>
        <w:rPr>
          <w:lang w:val="nb-NO"/>
        </w:rPr>
        <w:t xml:space="preserve"> Dette var allikevel lovlig, da praksisen </w:t>
      </w:r>
      <w:r w:rsidR="00065846">
        <w:rPr>
          <w:lang w:val="nb-NO"/>
        </w:rPr>
        <w:t xml:space="preserve">for endring av juridisk kjønn </w:t>
      </w:r>
      <w:r>
        <w:rPr>
          <w:lang w:val="nb-NO"/>
        </w:rPr>
        <w:t xml:space="preserve">var saklig begrunnet. </w:t>
      </w:r>
    </w:p>
    <w:p w14:paraId="6AEC9698" w14:textId="77777777" w:rsidR="00355C48" w:rsidRDefault="00277C8B" w:rsidP="008D7134">
      <w:pPr>
        <w:rPr>
          <w:lang w:val="nb-NO"/>
        </w:rPr>
      </w:pPr>
      <w:r>
        <w:rPr>
          <w:rFonts w:asciiTheme="majorHAnsi" w:hAnsiTheme="majorHAnsi" w:cstheme="majorHAnsi"/>
          <w:color w:val="333333"/>
          <w:shd w:val="clear" w:color="auto" w:fill="FFFFFF"/>
          <w:lang w:val="nb-NO"/>
        </w:rPr>
        <w:t xml:space="preserve">   I den andre saken, </w:t>
      </w:r>
      <w:r w:rsidR="008D7134" w:rsidRPr="00277C8B">
        <w:rPr>
          <w:lang w:val="nb-NO"/>
        </w:rPr>
        <w:t>LB-2018-190131</w:t>
      </w:r>
      <w:r>
        <w:rPr>
          <w:lang w:val="nb-NO"/>
        </w:rPr>
        <w:t>, kom retten til at det ikke var noen annen gruppe i sammenlignbar situasjon</w:t>
      </w:r>
      <w:r w:rsidR="00754374">
        <w:rPr>
          <w:lang w:val="nb-NO"/>
        </w:rPr>
        <w:t>:</w:t>
      </w:r>
      <w:r>
        <w:rPr>
          <w:lang w:val="nb-NO"/>
        </w:rPr>
        <w:t xml:space="preserve"> </w:t>
      </w:r>
      <w:r w:rsidR="00754374" w:rsidRPr="0057464C">
        <w:rPr>
          <w:lang w:val="nb-NO"/>
        </w:rPr>
        <w:t>«</w:t>
      </w:r>
      <w:r w:rsidR="00754374" w:rsidRPr="00280E91">
        <w:rPr>
          <w:lang w:val="nb-NO"/>
        </w:rPr>
        <w:t>Praksisen med å kreve diagnose, hormonell behandling og irreversibel sterilisering som vilkår for endring av juridisk kjønn var bare rettet mot transpersoner.</w:t>
      </w:r>
      <w:r w:rsidR="00754374">
        <w:rPr>
          <w:lang w:val="nb-NO"/>
        </w:rPr>
        <w:t xml:space="preserve">» </w:t>
      </w:r>
      <w:r w:rsidR="005828E4">
        <w:rPr>
          <w:lang w:val="nb-NO"/>
        </w:rPr>
        <w:t>(Saken gjaldt en biologisk kvinne som hadde skiftet juridisk kjønn til mann.)</w:t>
      </w:r>
      <w:r w:rsidR="005B6F94">
        <w:rPr>
          <w:lang w:val="nb-NO"/>
        </w:rPr>
        <w:t xml:space="preserve"> Lagmannsr</w:t>
      </w:r>
      <w:r w:rsidR="000364B1">
        <w:rPr>
          <w:lang w:val="nb-NO"/>
        </w:rPr>
        <w:t>etten tok uttrykkelig avstand fra ombudets vur</w:t>
      </w:r>
      <w:r w:rsidR="00355C48">
        <w:rPr>
          <w:lang w:val="nb-NO"/>
        </w:rPr>
        <w:t xml:space="preserve">dering i uttalelsen fra 2014 (tingrettens ord, som </w:t>
      </w:r>
      <w:r w:rsidR="00522DA6">
        <w:rPr>
          <w:lang w:val="nb-NO"/>
        </w:rPr>
        <w:t>ble tiltrådt</w:t>
      </w:r>
      <w:r w:rsidR="00355C48">
        <w:rPr>
          <w:lang w:val="nb-NO"/>
        </w:rPr>
        <w:t>):</w:t>
      </w:r>
      <w:r w:rsidR="005B6F94">
        <w:rPr>
          <w:lang w:val="nb-NO"/>
        </w:rPr>
        <w:t xml:space="preserve"> </w:t>
      </w:r>
    </w:p>
    <w:p w14:paraId="115A2355" w14:textId="77777777" w:rsidR="00355C48" w:rsidRPr="00355C48" w:rsidRDefault="00355C48" w:rsidP="008D7134">
      <w:pPr>
        <w:rPr>
          <w:sz w:val="20"/>
          <w:szCs w:val="20"/>
          <w:lang w:val="nb-NO"/>
        </w:rPr>
      </w:pPr>
    </w:p>
    <w:p w14:paraId="4A0A2CC0" w14:textId="77777777" w:rsidR="00355C48" w:rsidRPr="00355C48" w:rsidRDefault="00355C48" w:rsidP="008D7134">
      <w:pPr>
        <w:rPr>
          <w:sz w:val="20"/>
          <w:szCs w:val="20"/>
          <w:lang w:val="nb-NO"/>
        </w:rPr>
      </w:pPr>
      <w:r w:rsidRPr="00355C48">
        <w:rPr>
          <w:sz w:val="20"/>
          <w:szCs w:val="20"/>
          <w:lang w:val="nb-NO"/>
        </w:rPr>
        <w:t>«Etter rettens syn må vurderingen av om en praksis er indirekte forskjellsbehandlende, og om den likevel er lovlig, bygge på én og samme praksis. Som det fremgår ovenfor ble det ikke gjort av ombudet. Retten er derfor ikke enig med de konklusjoner som trekkes i ombudets avgjørelse.»</w:t>
      </w:r>
    </w:p>
    <w:p w14:paraId="0363966C" w14:textId="77777777" w:rsidR="00355C48" w:rsidRPr="00355C48" w:rsidRDefault="00355C48" w:rsidP="008D7134">
      <w:pPr>
        <w:rPr>
          <w:sz w:val="20"/>
          <w:szCs w:val="20"/>
          <w:lang w:val="nb-NO"/>
        </w:rPr>
      </w:pPr>
    </w:p>
    <w:p w14:paraId="1E8E6A74" w14:textId="68F5DE6F" w:rsidR="00355C48" w:rsidRPr="00355C48" w:rsidRDefault="00111D68" w:rsidP="008D7134">
      <w:pPr>
        <w:rPr>
          <w:lang w:val="nb-NO"/>
        </w:rPr>
      </w:pPr>
      <w:r>
        <w:rPr>
          <w:lang w:val="nb-NO"/>
        </w:rPr>
        <w:t>Det er derfor</w:t>
      </w:r>
      <w:r w:rsidR="004934AD">
        <w:rPr>
          <w:lang w:val="nb-NO"/>
        </w:rPr>
        <w:t xml:space="preserve"> </w:t>
      </w:r>
      <w:r w:rsidR="00CF19F0">
        <w:rPr>
          <w:lang w:val="nb-NO"/>
        </w:rPr>
        <w:t>rart</w:t>
      </w:r>
      <w:r>
        <w:rPr>
          <w:lang w:val="nb-NO"/>
        </w:rPr>
        <w:t xml:space="preserve"> at </w:t>
      </w:r>
      <w:r w:rsidR="004934AD">
        <w:rPr>
          <w:lang w:val="nb-NO"/>
        </w:rPr>
        <w:t>Hellum og Strand holde</w:t>
      </w:r>
      <w:r w:rsidR="00F52639">
        <w:rPr>
          <w:lang w:val="nb-NO"/>
        </w:rPr>
        <w:t>r</w:t>
      </w:r>
      <w:r w:rsidR="004934AD">
        <w:rPr>
          <w:lang w:val="nb-NO"/>
        </w:rPr>
        <w:t xml:space="preserve"> frem ombudets uttalelse i 2014 som eksempel på en rettskilde av god kvalitet</w:t>
      </w:r>
      <w:r w:rsidR="00D65687">
        <w:rPr>
          <w:lang w:val="nb-NO"/>
        </w:rPr>
        <w:t>, uten å nevne hva lagmannsretten mente om uttalelsen</w:t>
      </w:r>
      <w:r w:rsidR="004934AD">
        <w:rPr>
          <w:lang w:val="nb-NO"/>
        </w:rPr>
        <w:t>.</w:t>
      </w:r>
      <w:r w:rsidR="004934AD">
        <w:rPr>
          <w:rStyle w:val="Fotnotereferanse"/>
          <w:lang w:val="nb-NO"/>
        </w:rPr>
        <w:footnoteReference w:id="10"/>
      </w:r>
      <w:r w:rsidR="00D65687">
        <w:rPr>
          <w:lang w:val="nb-NO"/>
        </w:rPr>
        <w:t xml:space="preserve"> </w:t>
      </w:r>
      <w:r w:rsidR="00F52639">
        <w:rPr>
          <w:lang w:val="nb-NO"/>
        </w:rPr>
        <w:t>D</w:t>
      </w:r>
      <w:r w:rsidR="000466A8">
        <w:rPr>
          <w:lang w:val="nb-NO"/>
        </w:rPr>
        <w:t>ette er</w:t>
      </w:r>
      <w:r w:rsidR="00B93470">
        <w:rPr>
          <w:lang w:val="nb-NO"/>
        </w:rPr>
        <w:t xml:space="preserve"> ett av få eksempler</w:t>
      </w:r>
      <w:r w:rsidR="00F52639">
        <w:rPr>
          <w:lang w:val="nb-NO"/>
        </w:rPr>
        <w:t xml:space="preserve"> </w:t>
      </w:r>
      <w:r w:rsidR="0057711A">
        <w:rPr>
          <w:lang w:val="nb-NO"/>
        </w:rPr>
        <w:t>der</w:t>
      </w:r>
      <w:r w:rsidR="00F52639">
        <w:rPr>
          <w:lang w:val="nb-NO"/>
        </w:rPr>
        <w:t xml:space="preserve"> rettsvesenet </w:t>
      </w:r>
      <w:r w:rsidR="00182E1E">
        <w:rPr>
          <w:lang w:val="nb-NO"/>
        </w:rPr>
        <w:t>analyserer</w:t>
      </w:r>
      <w:r w:rsidR="00F61F89">
        <w:rPr>
          <w:lang w:val="nb-NO"/>
        </w:rPr>
        <w:t xml:space="preserve"> L</w:t>
      </w:r>
      <w:r w:rsidR="00F52639">
        <w:rPr>
          <w:lang w:val="nb-NO"/>
        </w:rPr>
        <w:t>ikestillingsombudets tankeverden</w:t>
      </w:r>
      <w:r w:rsidR="00C903E0">
        <w:rPr>
          <w:lang w:val="nb-NO"/>
        </w:rPr>
        <w:t>, det fortjener derfor interesse</w:t>
      </w:r>
      <w:r w:rsidR="00F52639">
        <w:rPr>
          <w:lang w:val="nb-NO"/>
        </w:rPr>
        <w:t>.</w:t>
      </w:r>
      <w:r w:rsidR="00C903E0">
        <w:rPr>
          <w:rStyle w:val="Fotnotereferanse"/>
          <w:lang w:val="nb-NO"/>
        </w:rPr>
        <w:footnoteReference w:id="11"/>
      </w:r>
      <w:r w:rsidR="00F52639">
        <w:rPr>
          <w:lang w:val="nb-NO"/>
        </w:rPr>
        <w:t xml:space="preserve"> </w:t>
      </w:r>
      <w:r w:rsidR="0057711A">
        <w:rPr>
          <w:lang w:val="nb-NO"/>
        </w:rPr>
        <w:t>Hellum har i en annen bok hevdet at lagmannsrettens dom er tvilsom på grunn av EØS-retten.</w:t>
      </w:r>
      <w:r w:rsidR="0057711A">
        <w:rPr>
          <w:rStyle w:val="Fotnotereferanse"/>
          <w:lang w:val="nb-NO"/>
        </w:rPr>
        <w:footnoteReference w:id="12"/>
      </w:r>
      <w:r w:rsidR="0057711A">
        <w:rPr>
          <w:lang w:val="nb-NO"/>
        </w:rPr>
        <w:t xml:space="preserve"> </w:t>
      </w:r>
    </w:p>
    <w:p w14:paraId="5896A6FA" w14:textId="77777777" w:rsidR="002A50D8" w:rsidRDefault="00B5392C" w:rsidP="00570CE3">
      <w:pPr>
        <w:rPr>
          <w:lang w:val="nb-NO"/>
        </w:rPr>
      </w:pPr>
      <w:r>
        <w:rPr>
          <w:lang w:val="nb-NO"/>
        </w:rPr>
        <w:t xml:space="preserve">   </w:t>
      </w:r>
      <w:r w:rsidR="002A50D8">
        <w:rPr>
          <w:lang w:val="nb-NO"/>
        </w:rPr>
        <w:t xml:space="preserve">Hvilket syn på rettsområdet </w:t>
      </w:r>
      <w:r w:rsidR="00DE251F">
        <w:rPr>
          <w:lang w:val="nb-NO"/>
        </w:rPr>
        <w:t>har</w:t>
      </w:r>
      <w:r w:rsidR="00FD61B4">
        <w:rPr>
          <w:lang w:val="nb-NO"/>
        </w:rPr>
        <w:t xml:space="preserve"> de to bøkene</w:t>
      </w:r>
      <w:r w:rsidR="002A50D8">
        <w:rPr>
          <w:lang w:val="nb-NO"/>
        </w:rPr>
        <w:t xml:space="preserve">, </w:t>
      </w:r>
      <w:r w:rsidR="00375A11">
        <w:rPr>
          <w:lang w:val="nb-NO"/>
        </w:rPr>
        <w:t xml:space="preserve">og </w:t>
      </w:r>
      <w:r w:rsidR="002A50D8">
        <w:rPr>
          <w:lang w:val="nb-NO"/>
        </w:rPr>
        <w:t xml:space="preserve">er det noen forskjell mellom dem? </w:t>
      </w:r>
    </w:p>
    <w:p w14:paraId="26909F8F" w14:textId="77777777" w:rsidR="002C0D76" w:rsidRDefault="002A50D8" w:rsidP="00570CE3">
      <w:pPr>
        <w:rPr>
          <w:lang w:val="nb-NO"/>
        </w:rPr>
      </w:pPr>
      <w:r>
        <w:rPr>
          <w:lang w:val="nb-NO"/>
        </w:rPr>
        <w:t xml:space="preserve">   </w:t>
      </w:r>
      <w:r w:rsidR="002C0D76" w:rsidRPr="002C0D76">
        <w:rPr>
          <w:lang w:val="nb-NO"/>
        </w:rPr>
        <w:t>Ballangrud og Søbstad</w:t>
      </w:r>
      <w:r w:rsidR="002C0D76">
        <w:rPr>
          <w:lang w:val="nb-NO"/>
        </w:rPr>
        <w:t xml:space="preserve">s </w:t>
      </w:r>
      <w:r w:rsidR="00331EC6">
        <w:rPr>
          <w:lang w:val="nb-NO"/>
        </w:rPr>
        <w:t>lovkommentar</w:t>
      </w:r>
      <w:r w:rsidR="002C0D76">
        <w:rPr>
          <w:lang w:val="nb-NO"/>
        </w:rPr>
        <w:t xml:space="preserve"> har </w:t>
      </w:r>
      <w:r w:rsidR="00331EC6">
        <w:rPr>
          <w:lang w:val="nb-NO"/>
        </w:rPr>
        <w:t>neppe</w:t>
      </w:r>
      <w:r w:rsidR="00AD7096">
        <w:rPr>
          <w:lang w:val="nb-NO"/>
        </w:rPr>
        <w:t xml:space="preserve"> forskningsmessige ambisjoner</w:t>
      </w:r>
      <w:r w:rsidR="002C0D76">
        <w:rPr>
          <w:lang w:val="nb-NO"/>
        </w:rPr>
        <w:t xml:space="preserve">. </w:t>
      </w:r>
      <w:r w:rsidR="000261D9">
        <w:rPr>
          <w:lang w:val="nb-NO"/>
        </w:rPr>
        <w:t>Av forskning forventes</w:t>
      </w:r>
      <w:r w:rsidR="002A2957">
        <w:rPr>
          <w:lang w:val="nb-NO"/>
        </w:rPr>
        <w:t xml:space="preserve"> nytenkning og en særlig grundighet</w:t>
      </w:r>
      <w:r w:rsidR="00EF39B9">
        <w:rPr>
          <w:lang w:val="nb-NO"/>
        </w:rPr>
        <w:t xml:space="preserve"> og nøyaktighet</w:t>
      </w:r>
      <w:r w:rsidR="002A2957">
        <w:rPr>
          <w:lang w:val="nb-NO"/>
        </w:rPr>
        <w:t>. Grundighet er også nødvendig for en lovkomme</w:t>
      </w:r>
      <w:r w:rsidR="00EF39B9">
        <w:rPr>
          <w:lang w:val="nb-NO"/>
        </w:rPr>
        <w:t>ntar som skal veilede advokater, dommere og andre brukere</w:t>
      </w:r>
      <w:r w:rsidR="002A2957">
        <w:rPr>
          <w:lang w:val="nb-NO"/>
        </w:rPr>
        <w:t>.</w:t>
      </w:r>
      <w:r w:rsidR="002C0D76" w:rsidRPr="002C0D76">
        <w:rPr>
          <w:lang w:val="nb-NO"/>
        </w:rPr>
        <w:t xml:space="preserve"> </w:t>
      </w:r>
      <w:r w:rsidR="00B5392C">
        <w:rPr>
          <w:lang w:val="nb-NO"/>
        </w:rPr>
        <w:t xml:space="preserve"> </w:t>
      </w:r>
    </w:p>
    <w:p w14:paraId="15460984" w14:textId="77777777" w:rsidR="005E47CC" w:rsidRPr="001C1E76" w:rsidRDefault="00E669EE" w:rsidP="005E47CC">
      <w:pPr>
        <w:rPr>
          <w:lang w:val="nb-NO"/>
        </w:rPr>
      </w:pPr>
      <w:r>
        <w:rPr>
          <w:lang w:val="nb-NO"/>
        </w:rPr>
        <w:t xml:space="preserve">   </w:t>
      </w:r>
      <w:r w:rsidR="009D1164">
        <w:rPr>
          <w:lang w:val="nb-NO"/>
        </w:rPr>
        <w:t xml:space="preserve">Fremstillingen hos </w:t>
      </w:r>
      <w:r w:rsidR="005E47CC" w:rsidRPr="00C914FA">
        <w:rPr>
          <w:lang w:val="nb-NO"/>
        </w:rPr>
        <w:t>Ballangrud og Søbstad</w:t>
      </w:r>
      <w:r w:rsidR="005E47CC">
        <w:rPr>
          <w:lang w:val="nb-NO"/>
        </w:rPr>
        <w:t xml:space="preserve"> er traust og solid</w:t>
      </w:r>
      <w:r w:rsidR="00BE7D8C">
        <w:rPr>
          <w:lang w:val="nb-NO"/>
        </w:rPr>
        <w:t>, som det høver seg en lovkommentar</w:t>
      </w:r>
      <w:r w:rsidR="005E47CC">
        <w:rPr>
          <w:lang w:val="nb-NO"/>
        </w:rPr>
        <w:t>. Formålet er</w:t>
      </w:r>
      <w:r w:rsidR="009D1164">
        <w:rPr>
          <w:lang w:val="nb-NO"/>
        </w:rPr>
        <w:t xml:space="preserve"> </w:t>
      </w:r>
      <w:r w:rsidR="005E47CC">
        <w:rPr>
          <w:lang w:val="nb-NO"/>
        </w:rPr>
        <w:t>å «</w:t>
      </w:r>
      <w:r w:rsidR="005E47CC" w:rsidRPr="001C1E76">
        <w:rPr>
          <w:lang w:val="nb-NO"/>
        </w:rPr>
        <w:t>gjøre det lettere å navigere i dette landskapet og finne frem til gode og riktige løsninger på diskrimineringsrettslige spørsmål</w:t>
      </w:r>
      <w:r w:rsidR="005E47CC">
        <w:rPr>
          <w:lang w:val="nb-NO"/>
        </w:rPr>
        <w:t>»</w:t>
      </w:r>
      <w:r w:rsidR="005E47CC" w:rsidRPr="001C1E76">
        <w:rPr>
          <w:lang w:val="nb-NO"/>
        </w:rPr>
        <w:t>.</w:t>
      </w:r>
      <w:r w:rsidR="005E47CC">
        <w:rPr>
          <w:lang w:val="nb-NO"/>
        </w:rPr>
        <w:t xml:space="preserve"> </w:t>
      </w:r>
      <w:r w:rsidR="00796F15">
        <w:rPr>
          <w:lang w:val="nb-NO"/>
        </w:rPr>
        <w:t>Dette oppfylles</w:t>
      </w:r>
      <w:r w:rsidR="0007356B">
        <w:rPr>
          <w:lang w:val="nb-NO"/>
        </w:rPr>
        <w:t>,</w:t>
      </w:r>
      <w:r w:rsidR="005A6769">
        <w:rPr>
          <w:lang w:val="nb-NO"/>
        </w:rPr>
        <w:t xml:space="preserve"> </w:t>
      </w:r>
      <w:r w:rsidR="00753136">
        <w:rPr>
          <w:lang w:val="nb-NO"/>
        </w:rPr>
        <w:t>så langt en kan forvente</w:t>
      </w:r>
      <w:r w:rsidR="00B10828">
        <w:rPr>
          <w:lang w:val="nb-NO"/>
        </w:rPr>
        <w:t xml:space="preserve"> i dette formatet</w:t>
      </w:r>
      <w:r w:rsidR="00753136">
        <w:rPr>
          <w:lang w:val="nb-NO"/>
        </w:rPr>
        <w:t>.</w:t>
      </w:r>
      <w:r w:rsidR="00796F15">
        <w:rPr>
          <w:lang w:val="nb-NO"/>
        </w:rPr>
        <w:t xml:space="preserve"> </w:t>
      </w:r>
    </w:p>
    <w:p w14:paraId="3AE7DB41" w14:textId="77777777" w:rsidR="006E4364" w:rsidRDefault="005E47CC" w:rsidP="005E47CC">
      <w:pPr>
        <w:rPr>
          <w:lang w:val="nb-NO"/>
        </w:rPr>
      </w:pPr>
      <w:r>
        <w:rPr>
          <w:lang w:val="nb-NO"/>
        </w:rPr>
        <w:t xml:space="preserve">   </w:t>
      </w:r>
      <w:r w:rsidR="00863341">
        <w:rPr>
          <w:lang w:val="nb-NO"/>
        </w:rPr>
        <w:t>Hellum og Strands</w:t>
      </w:r>
      <w:r>
        <w:rPr>
          <w:lang w:val="nb-NO"/>
        </w:rPr>
        <w:t xml:space="preserve"> </w:t>
      </w:r>
      <w:r w:rsidRPr="00863341">
        <w:rPr>
          <w:i/>
          <w:lang w:val="nb-NO"/>
        </w:rPr>
        <w:t>Likestillings- og diskrimineringsrett</w:t>
      </w:r>
      <w:r>
        <w:rPr>
          <w:lang w:val="nb-NO"/>
        </w:rPr>
        <w:t xml:space="preserve"> har </w:t>
      </w:r>
      <w:r w:rsidR="00C97D92">
        <w:rPr>
          <w:lang w:val="nb-NO"/>
        </w:rPr>
        <w:t>til</w:t>
      </w:r>
      <w:r w:rsidRPr="00A03DBB">
        <w:rPr>
          <w:lang w:val="nb-NO"/>
        </w:rPr>
        <w:t xml:space="preserve"> formål</w:t>
      </w:r>
      <w:r w:rsidR="00AB073A">
        <w:rPr>
          <w:lang w:val="nb-NO"/>
        </w:rPr>
        <w:t xml:space="preserve"> </w:t>
      </w:r>
      <w:r w:rsidR="00E12965">
        <w:rPr>
          <w:lang w:val="nb-NO"/>
        </w:rPr>
        <w:t xml:space="preserve">å være en samlet fremstilling av </w:t>
      </w:r>
      <w:r w:rsidR="00C97D92">
        <w:rPr>
          <w:lang w:val="nb-NO"/>
        </w:rPr>
        <w:t>diskriminerings</w:t>
      </w:r>
      <w:r w:rsidR="00E12965">
        <w:rPr>
          <w:lang w:val="nb-NO"/>
        </w:rPr>
        <w:t>vernet</w:t>
      </w:r>
      <w:r w:rsidR="00C97D92">
        <w:rPr>
          <w:lang w:val="nb-NO"/>
        </w:rPr>
        <w:t xml:space="preserve"> og å «fortolke, forklare, systematisere og vurdere» dette</w:t>
      </w:r>
      <w:r w:rsidR="00E70DDA">
        <w:rPr>
          <w:lang w:val="nb-NO"/>
        </w:rPr>
        <w:t xml:space="preserve"> (side 53)</w:t>
      </w:r>
      <w:r>
        <w:rPr>
          <w:lang w:val="nb-NO"/>
        </w:rPr>
        <w:t xml:space="preserve">. </w:t>
      </w:r>
      <w:r w:rsidR="00AD7096">
        <w:rPr>
          <w:lang w:val="nb-NO"/>
        </w:rPr>
        <w:t xml:space="preserve">Jeg leser dette som at boken skal fremstille og vurdere gjeldende rett. Det fremgår ikke hva en eventuell forskningsmessig ambisjon består i. </w:t>
      </w:r>
      <w:r w:rsidR="00624646">
        <w:rPr>
          <w:lang w:val="nb-NO"/>
        </w:rPr>
        <w:t>Foruten lovkommentaren forelå det allerede flere fremstillinger av norsk diskrimineringsrett. Vi får ikke vite på hvilken måte disse var</w:t>
      </w:r>
      <w:r w:rsidR="00E70DDA">
        <w:rPr>
          <w:lang w:val="nb-NO"/>
        </w:rPr>
        <w:t xml:space="preserve"> utilstrekkelige. </w:t>
      </w:r>
      <w:r w:rsidR="005D66B6">
        <w:rPr>
          <w:lang w:val="nb-NO"/>
        </w:rPr>
        <w:t xml:space="preserve">En </w:t>
      </w:r>
      <w:r w:rsidR="008F5A0F">
        <w:rPr>
          <w:lang w:val="nb-NO"/>
        </w:rPr>
        <w:t xml:space="preserve">juridisk </w:t>
      </w:r>
      <w:r w:rsidR="005D66B6">
        <w:rPr>
          <w:lang w:val="nb-NO"/>
        </w:rPr>
        <w:t xml:space="preserve">forfatter bør vel forsvare nødvendigheten av sitt eget verk? </w:t>
      </w:r>
      <w:r w:rsidR="008F5A0F">
        <w:rPr>
          <w:lang w:val="nb-NO"/>
        </w:rPr>
        <w:t xml:space="preserve">Så mye tekst som vi i dag er omgitt av, er det å sette enda mer på trykk en dristig øvelse. </w:t>
      </w:r>
      <w:r w:rsidR="00E70DDA">
        <w:rPr>
          <w:lang w:val="nb-NO"/>
        </w:rPr>
        <w:t>B</w:t>
      </w:r>
      <w:r w:rsidR="00624646">
        <w:rPr>
          <w:lang w:val="nb-NO"/>
        </w:rPr>
        <w:t>ehovet for en oppdatering på grunn av lovendringer og praksis</w:t>
      </w:r>
      <w:r w:rsidR="00E70DDA">
        <w:rPr>
          <w:lang w:val="nb-NO"/>
        </w:rPr>
        <w:t xml:space="preserve"> ivaretas av lovkommentaren</w:t>
      </w:r>
      <w:r w:rsidR="00624646">
        <w:rPr>
          <w:lang w:val="nb-NO"/>
        </w:rPr>
        <w:t>.</w:t>
      </w:r>
      <w:r w:rsidR="00E70DDA">
        <w:rPr>
          <w:lang w:val="nb-NO"/>
        </w:rPr>
        <w:t xml:space="preserve"> </w:t>
      </w:r>
      <w:r w:rsidR="006E4364">
        <w:rPr>
          <w:lang w:val="nb-NO"/>
        </w:rPr>
        <w:t xml:space="preserve">  </w:t>
      </w:r>
    </w:p>
    <w:p w14:paraId="6BD31F55" w14:textId="77777777" w:rsidR="006E4364" w:rsidRDefault="006E4364" w:rsidP="005E47CC">
      <w:pPr>
        <w:rPr>
          <w:lang w:val="nb-NO"/>
        </w:rPr>
      </w:pPr>
      <w:r>
        <w:rPr>
          <w:lang w:val="nb-NO"/>
        </w:rPr>
        <w:t xml:space="preserve">   </w:t>
      </w:r>
      <w:r w:rsidR="00C01CBC">
        <w:rPr>
          <w:lang w:val="nb-NO"/>
        </w:rPr>
        <w:t xml:space="preserve">Faget likestillings- og diskrimineringsrett er valgemne ved de juridiske fakultetene i Oslo og Tromsø. </w:t>
      </w:r>
      <w:r w:rsidR="00E70DDA">
        <w:rPr>
          <w:lang w:val="nb-NO"/>
        </w:rPr>
        <w:t xml:space="preserve">Fagets formål angis som nær identisk med bokens formål (se ovenfor). </w:t>
      </w:r>
      <w:r w:rsidR="0008372F">
        <w:rPr>
          <w:lang w:val="nb-NO"/>
        </w:rPr>
        <w:t>Boken er svært omfangsrik til å være lærebok for studenter, som synes å være den primære målgruppen.</w:t>
      </w:r>
      <w:r w:rsidR="005D66B6">
        <w:rPr>
          <w:lang w:val="nb-NO"/>
        </w:rPr>
        <w:t xml:space="preserve"> </w:t>
      </w:r>
      <w:r w:rsidR="000E32DC">
        <w:rPr>
          <w:lang w:val="nb-NO"/>
        </w:rPr>
        <w:t xml:space="preserve">Mye plass går med til å fremstille «nasjonal og internasjonal rettsutvikling», som </w:t>
      </w:r>
      <w:r w:rsidR="003073BA">
        <w:rPr>
          <w:lang w:val="nb-NO"/>
        </w:rPr>
        <w:t xml:space="preserve">med fordel </w:t>
      </w:r>
      <w:r w:rsidR="000E32DC">
        <w:rPr>
          <w:lang w:val="nb-NO"/>
        </w:rPr>
        <w:t>kunne vært gjenstand for en egen bok om diskrimineringsrettens historie</w:t>
      </w:r>
      <w:r w:rsidR="00372643">
        <w:rPr>
          <w:lang w:val="nb-NO"/>
        </w:rPr>
        <w:t>, her og internasjonalt</w:t>
      </w:r>
      <w:r w:rsidR="000E32DC">
        <w:rPr>
          <w:lang w:val="nb-NO"/>
        </w:rPr>
        <w:t xml:space="preserve">. </w:t>
      </w:r>
    </w:p>
    <w:p w14:paraId="1D65EE1A" w14:textId="46881FFC" w:rsidR="00D928AA" w:rsidRDefault="000E32DC" w:rsidP="005E47CC">
      <w:pPr>
        <w:rPr>
          <w:lang w:val="nb-NO"/>
        </w:rPr>
      </w:pPr>
      <w:r>
        <w:rPr>
          <w:lang w:val="nb-NO"/>
        </w:rPr>
        <w:t xml:space="preserve">   For praktikere er bok</w:t>
      </w:r>
      <w:r w:rsidR="005E47CC">
        <w:rPr>
          <w:lang w:val="nb-NO"/>
        </w:rPr>
        <w:t>en tungvint å f</w:t>
      </w:r>
      <w:r w:rsidR="00860C71">
        <w:rPr>
          <w:lang w:val="nb-NO"/>
        </w:rPr>
        <w:t xml:space="preserve">inne frem i, </w:t>
      </w:r>
      <w:r w:rsidR="005E47CC">
        <w:rPr>
          <w:lang w:val="nb-NO"/>
        </w:rPr>
        <w:t>fraværet av lovre</w:t>
      </w:r>
      <w:r w:rsidR="00860C71">
        <w:rPr>
          <w:lang w:val="nb-NO"/>
        </w:rPr>
        <w:t xml:space="preserve">gister forsterker dette. </w:t>
      </w:r>
      <w:r w:rsidR="005E47CC">
        <w:rPr>
          <w:lang w:val="nb-NO"/>
        </w:rPr>
        <w:t xml:space="preserve">Mange </w:t>
      </w:r>
      <w:r w:rsidR="0007356B">
        <w:rPr>
          <w:lang w:val="nb-NO"/>
        </w:rPr>
        <w:t>temaer</w:t>
      </w:r>
      <w:r w:rsidR="005E47CC">
        <w:rPr>
          <w:lang w:val="nb-NO"/>
        </w:rPr>
        <w:t xml:space="preserve"> behandles </w:t>
      </w:r>
      <w:r w:rsidR="003D6583">
        <w:rPr>
          <w:lang w:val="nb-NO"/>
        </w:rPr>
        <w:t>flere steder</w:t>
      </w:r>
      <w:r w:rsidR="00D928AA">
        <w:rPr>
          <w:lang w:val="nb-NO"/>
        </w:rPr>
        <w:t xml:space="preserve">, </w:t>
      </w:r>
      <w:r w:rsidR="00AF4B70">
        <w:rPr>
          <w:lang w:val="nb-NO"/>
        </w:rPr>
        <w:t xml:space="preserve">og </w:t>
      </w:r>
      <w:r w:rsidR="00D928AA">
        <w:rPr>
          <w:lang w:val="nb-NO"/>
        </w:rPr>
        <w:t>det er mye gjentagelser</w:t>
      </w:r>
      <w:r w:rsidR="003D6583">
        <w:rPr>
          <w:lang w:val="nb-NO"/>
        </w:rPr>
        <w:t xml:space="preserve">. </w:t>
      </w:r>
      <w:r w:rsidR="00BD5B26">
        <w:rPr>
          <w:lang w:val="nb-NO"/>
        </w:rPr>
        <w:t>Ofte gis</w:t>
      </w:r>
      <w:r w:rsidR="005E47CC">
        <w:rPr>
          <w:lang w:val="nb-NO"/>
        </w:rPr>
        <w:t xml:space="preserve"> referat fra forarbei</w:t>
      </w:r>
      <w:r w:rsidR="000748D2">
        <w:rPr>
          <w:lang w:val="nb-NO"/>
        </w:rPr>
        <w:t>der og nemndsavgjørelser</w:t>
      </w:r>
      <w:r w:rsidR="005E47CC">
        <w:rPr>
          <w:lang w:val="nb-NO"/>
        </w:rPr>
        <w:t xml:space="preserve"> uten at forfatterne tar noe k</w:t>
      </w:r>
      <w:r w:rsidR="00DB2671">
        <w:rPr>
          <w:lang w:val="nb-NO"/>
        </w:rPr>
        <w:t>lart standpunkt til hva som er riktig rett</w:t>
      </w:r>
      <w:r w:rsidR="005E47CC">
        <w:rPr>
          <w:lang w:val="nb-NO"/>
        </w:rPr>
        <w:t xml:space="preserve">. </w:t>
      </w:r>
    </w:p>
    <w:p w14:paraId="6A6C1669" w14:textId="511AE532" w:rsidR="00AF4B70" w:rsidRDefault="00AF4B70" w:rsidP="00AF4B70">
      <w:pPr>
        <w:rPr>
          <w:lang w:val="nb-NO"/>
        </w:rPr>
      </w:pPr>
      <w:r>
        <w:rPr>
          <w:lang w:val="nb-NO"/>
        </w:rPr>
        <w:t xml:space="preserve">   Boken inneholder mye nyttig informasjon, men det er ofte strevsomt å finne frem til den. Fremstillingens struktur og omfang blir et stengsel </w:t>
      </w:r>
      <w:r w:rsidR="00031760">
        <w:rPr>
          <w:lang w:val="nb-NO"/>
        </w:rPr>
        <w:t>for</w:t>
      </w:r>
      <w:r>
        <w:rPr>
          <w:lang w:val="nb-NO"/>
        </w:rPr>
        <w:t xml:space="preserve"> de gode partiene. Positiv særbehandling ved opptak til utdanning er et stadig mer aktuelt tema: Adgangen til å iverksette dette behandles først som et spørsmål om EU-direktivenes virkeområde (sid</w:t>
      </w:r>
      <w:r w:rsidR="00CB36FF">
        <w:rPr>
          <w:lang w:val="nb-NO"/>
        </w:rPr>
        <w:t>e 176-183) og deretter side 494-</w:t>
      </w:r>
      <w:r>
        <w:rPr>
          <w:lang w:val="nb-NO"/>
        </w:rPr>
        <w:t xml:space="preserve">497. </w:t>
      </w:r>
      <w:r w:rsidR="00E22DA5">
        <w:rPr>
          <w:lang w:val="nb-NO"/>
        </w:rPr>
        <w:t>Hellum og Strand</w:t>
      </w:r>
      <w:r w:rsidR="00AB6B13">
        <w:rPr>
          <w:lang w:val="nb-NO"/>
        </w:rPr>
        <w:t xml:space="preserve"> mener (</w:t>
      </w:r>
      <w:r>
        <w:rPr>
          <w:lang w:val="nb-NO"/>
        </w:rPr>
        <w:t xml:space="preserve">som </w:t>
      </w:r>
      <w:r w:rsidRPr="002C0D76">
        <w:rPr>
          <w:lang w:val="nb-NO"/>
        </w:rPr>
        <w:t>Ballangrud og Søbstad</w:t>
      </w:r>
      <w:r w:rsidR="00AB6B13">
        <w:rPr>
          <w:lang w:val="nb-NO"/>
        </w:rPr>
        <w:t>)</w:t>
      </w:r>
      <w:r>
        <w:rPr>
          <w:lang w:val="nb-NO"/>
        </w:rPr>
        <w:t xml:space="preserve"> at det er uavklart om kjønnslikestillingsdirektivet (2006/54/EF) kommer til anvendelse utenfor arbeidsliv og yrkesrettet </w:t>
      </w:r>
      <w:r w:rsidR="00D36B26">
        <w:rPr>
          <w:lang w:val="nb-NO"/>
        </w:rPr>
        <w:t>opplæring. Den videre drøftelse</w:t>
      </w:r>
      <w:r>
        <w:rPr>
          <w:lang w:val="nb-NO"/>
        </w:rPr>
        <w:t xml:space="preserve"> av lovligheten ender uten noen konklusjon.  </w:t>
      </w:r>
    </w:p>
    <w:p w14:paraId="4FA4B879" w14:textId="59B2DE0C" w:rsidR="005E47CC" w:rsidRDefault="00AF4B70" w:rsidP="005E47CC">
      <w:pPr>
        <w:rPr>
          <w:lang w:val="nb-NO"/>
        </w:rPr>
      </w:pPr>
      <w:r>
        <w:rPr>
          <w:lang w:val="nb-NO"/>
        </w:rPr>
        <w:t xml:space="preserve">   </w:t>
      </w:r>
      <w:r w:rsidR="007A1183">
        <w:rPr>
          <w:lang w:val="nb-NO"/>
        </w:rPr>
        <w:t>B</w:t>
      </w:r>
      <w:r w:rsidR="005E47CC">
        <w:rPr>
          <w:lang w:val="nb-NO"/>
        </w:rPr>
        <w:t>oken er</w:t>
      </w:r>
      <w:r w:rsidR="007A1183">
        <w:rPr>
          <w:lang w:val="nb-NO"/>
        </w:rPr>
        <w:t xml:space="preserve"> ellers</w:t>
      </w:r>
      <w:r w:rsidR="005E47CC">
        <w:rPr>
          <w:lang w:val="nb-NO"/>
        </w:rPr>
        <w:t xml:space="preserve"> full av st</w:t>
      </w:r>
      <w:r w:rsidR="00AF15C0">
        <w:rPr>
          <w:lang w:val="nb-NO"/>
        </w:rPr>
        <w:t>andpunkter fra forfatterne</w:t>
      </w:r>
      <w:r w:rsidR="005E47CC">
        <w:rPr>
          <w:lang w:val="nb-NO"/>
        </w:rPr>
        <w:t xml:space="preserve">, særlig til hvordan loven burde presiseres eller endres. Det er flere </w:t>
      </w:r>
      <w:r w:rsidR="005E47CC" w:rsidRPr="00F82126">
        <w:rPr>
          <w:lang w:val="nb-NO"/>
        </w:rPr>
        <w:t>gjennomgående trekk ved disse standpunktene:</w:t>
      </w:r>
      <w:r w:rsidR="00DB2671">
        <w:rPr>
          <w:lang w:val="nb-NO"/>
        </w:rPr>
        <w:t xml:space="preserve"> </w:t>
      </w:r>
    </w:p>
    <w:p w14:paraId="7D45DD3C" w14:textId="1C6BBB34" w:rsidR="005E47CC" w:rsidRDefault="005E47CC" w:rsidP="005E47CC">
      <w:pPr>
        <w:rPr>
          <w:lang w:val="nb-NO"/>
        </w:rPr>
      </w:pPr>
      <w:r>
        <w:rPr>
          <w:lang w:val="nb-NO"/>
        </w:rPr>
        <w:t xml:space="preserve">   </w:t>
      </w:r>
      <w:r w:rsidR="00896851">
        <w:rPr>
          <w:lang w:val="nb-NO"/>
        </w:rPr>
        <w:t xml:space="preserve">Hellum og Strand </w:t>
      </w:r>
      <w:r>
        <w:rPr>
          <w:lang w:val="nb-NO"/>
        </w:rPr>
        <w:t xml:space="preserve">mener </w:t>
      </w:r>
      <w:r w:rsidR="00803D42">
        <w:rPr>
          <w:lang w:val="nb-NO"/>
        </w:rPr>
        <w:t xml:space="preserve">nok </w:t>
      </w:r>
      <w:r>
        <w:rPr>
          <w:lang w:val="nb-NO"/>
        </w:rPr>
        <w:t xml:space="preserve">at </w:t>
      </w:r>
      <w:r w:rsidRPr="008F1A87">
        <w:rPr>
          <w:i/>
          <w:lang w:val="nb-NO"/>
        </w:rPr>
        <w:t>flest mulig</w:t>
      </w:r>
      <w:r w:rsidRPr="00B94982">
        <w:rPr>
          <w:lang w:val="nb-NO"/>
        </w:rPr>
        <w:t xml:space="preserve"> saker</w:t>
      </w:r>
      <w:r w:rsidR="00681FE5">
        <w:rPr>
          <w:lang w:val="nb-NO"/>
        </w:rPr>
        <w:t xml:space="preserve"> bør kunne behandles av </w:t>
      </w:r>
      <w:r>
        <w:rPr>
          <w:lang w:val="nb-NO"/>
        </w:rPr>
        <w:t>Diskrimineringsnemda. Dette viser seg blant annet i drøftelsene av hvem som er «part» i diskrimineringsombudslovens forstand, hvem som har rettslig klageinteresse</w:t>
      </w:r>
      <w:r w:rsidR="00ED1EE0">
        <w:rPr>
          <w:lang w:val="nb-NO"/>
        </w:rPr>
        <w:t>,</w:t>
      </w:r>
      <w:r>
        <w:rPr>
          <w:lang w:val="nb-NO"/>
        </w:rPr>
        <w:t xml:space="preserve"> og</w:t>
      </w:r>
      <w:r w:rsidR="0023535C">
        <w:rPr>
          <w:lang w:val="nb-NO"/>
        </w:rPr>
        <w:t xml:space="preserve"> når en sak kan bringes inn (</w:t>
      </w:r>
      <w:r w:rsidR="005F0F55">
        <w:rPr>
          <w:lang w:val="nb-NO"/>
        </w:rPr>
        <w:t xml:space="preserve">side </w:t>
      </w:r>
      <w:r w:rsidR="0023535C">
        <w:rPr>
          <w:lang w:val="nb-NO"/>
        </w:rPr>
        <w:t>685</w:t>
      </w:r>
      <w:r>
        <w:rPr>
          <w:lang w:val="nb-NO"/>
        </w:rPr>
        <w:t>-689).</w:t>
      </w:r>
      <w:r w:rsidR="00964AD1">
        <w:rPr>
          <w:lang w:val="nb-NO"/>
        </w:rPr>
        <w:t xml:space="preserve"> </w:t>
      </w:r>
      <w:r w:rsidR="00896851">
        <w:rPr>
          <w:lang w:val="nb-NO"/>
        </w:rPr>
        <w:t xml:space="preserve">Hellum og Strand </w:t>
      </w:r>
      <w:r>
        <w:rPr>
          <w:lang w:val="nb-NO"/>
        </w:rPr>
        <w:t xml:space="preserve">mener at forvaltningslovens partsdefinisjon er for snever til å favne alle som etter deres mening burde kunne klage. De nevner </w:t>
      </w:r>
      <w:r w:rsidR="00F00552">
        <w:rPr>
          <w:lang w:val="nb-NO"/>
        </w:rPr>
        <w:t xml:space="preserve">i denne forbindelse </w:t>
      </w:r>
      <w:r>
        <w:rPr>
          <w:lang w:val="nb-NO"/>
        </w:rPr>
        <w:t xml:space="preserve">ikke diskrimineringsombudslovens § 2 </w:t>
      </w:r>
      <w:r w:rsidR="00674D04">
        <w:rPr>
          <w:lang w:val="nb-NO"/>
        </w:rPr>
        <w:t xml:space="preserve">første ledd </w:t>
      </w:r>
      <w:r w:rsidR="00C36BC2">
        <w:rPr>
          <w:lang w:val="nb-NO"/>
        </w:rPr>
        <w:t xml:space="preserve">(nr 50/2017) </w:t>
      </w:r>
      <w:r>
        <w:rPr>
          <w:lang w:val="nb-NO"/>
        </w:rPr>
        <w:t>om at forvaltningsloven skal gjelde for nemndas virksomhet.</w:t>
      </w:r>
      <w:r w:rsidR="000D4E94">
        <w:rPr>
          <w:rStyle w:val="Fotnotereferanse"/>
          <w:lang w:val="nb-NO"/>
        </w:rPr>
        <w:footnoteReference w:id="13"/>
      </w:r>
      <w:r>
        <w:rPr>
          <w:lang w:val="nb-NO"/>
        </w:rPr>
        <w:t xml:space="preserve"> De viser i note</w:t>
      </w:r>
      <w:r w:rsidR="00D379EA">
        <w:rPr>
          <w:lang w:val="nb-NO"/>
        </w:rPr>
        <w:t xml:space="preserve"> 2726</w:t>
      </w:r>
      <w:r>
        <w:rPr>
          <w:lang w:val="nb-NO"/>
        </w:rPr>
        <w:t xml:space="preserve"> til nemndsavgjørelse om avvisning grunnet i forvaltningslovens partsdefinisjon i </w:t>
      </w:r>
      <w:r w:rsidR="002F363F">
        <w:rPr>
          <w:lang w:val="nb-NO"/>
        </w:rPr>
        <w:t xml:space="preserve">dens </w:t>
      </w:r>
      <w:r>
        <w:rPr>
          <w:lang w:val="nb-NO"/>
        </w:rPr>
        <w:t>§ 2 første ledd e. Men hverken lovens ord eller nem</w:t>
      </w:r>
      <w:r w:rsidR="00F216A3">
        <w:rPr>
          <w:lang w:val="nb-NO"/>
        </w:rPr>
        <w:t>n</w:t>
      </w:r>
      <w:r>
        <w:rPr>
          <w:lang w:val="nb-NO"/>
        </w:rPr>
        <w:t>das praksis synes å gjøre inntrykk på forfa</w:t>
      </w:r>
      <w:r w:rsidR="00EC1548">
        <w:rPr>
          <w:lang w:val="nb-NO"/>
        </w:rPr>
        <w:t xml:space="preserve">tternes oppfatning av gjeldende eller </w:t>
      </w:r>
      <w:r>
        <w:rPr>
          <w:lang w:val="nb-NO"/>
        </w:rPr>
        <w:t xml:space="preserve">riktig rett, når de er uenige med nevnte kilder. </w:t>
      </w:r>
      <w:r w:rsidR="009C0890">
        <w:rPr>
          <w:lang w:val="nb-NO"/>
        </w:rPr>
        <w:t xml:space="preserve">Boken er med andre ord </w:t>
      </w:r>
      <w:r w:rsidR="009C0890" w:rsidRPr="0043666A">
        <w:rPr>
          <w:lang w:val="nb-NO"/>
        </w:rPr>
        <w:t>frirettslig</w:t>
      </w:r>
      <w:r w:rsidR="007A1183">
        <w:rPr>
          <w:lang w:val="nb-NO"/>
        </w:rPr>
        <w:t>,</w:t>
      </w:r>
      <w:r w:rsidR="009C0890" w:rsidRPr="008F1A87">
        <w:rPr>
          <w:i/>
          <w:lang w:val="nb-NO"/>
        </w:rPr>
        <w:t xml:space="preserve"> </w:t>
      </w:r>
      <w:r w:rsidR="009C0890">
        <w:rPr>
          <w:lang w:val="nb-NO"/>
        </w:rPr>
        <w:t xml:space="preserve">i betydningen ikke pålitelig for praktikere. </w:t>
      </w:r>
    </w:p>
    <w:p w14:paraId="7C453A7C" w14:textId="77777777" w:rsidR="00943161" w:rsidRDefault="005E47CC" w:rsidP="005E47CC">
      <w:pPr>
        <w:rPr>
          <w:lang w:val="nb-NO"/>
        </w:rPr>
      </w:pPr>
      <w:r>
        <w:rPr>
          <w:lang w:val="nb-NO"/>
        </w:rPr>
        <w:t xml:space="preserve">   Diskrimineringsombudslovens § 2 nevnes hel</w:t>
      </w:r>
      <w:r w:rsidR="000C08C6">
        <w:rPr>
          <w:lang w:val="nb-NO"/>
        </w:rPr>
        <w:t>ler ikke under behandlingen (</w:t>
      </w:r>
      <w:r w:rsidR="00896851">
        <w:rPr>
          <w:lang w:val="nb-NO"/>
        </w:rPr>
        <w:t xml:space="preserve">side </w:t>
      </w:r>
      <w:r w:rsidR="000C08C6">
        <w:rPr>
          <w:lang w:val="nb-NO"/>
        </w:rPr>
        <w:t>695</w:t>
      </w:r>
      <w:r>
        <w:rPr>
          <w:lang w:val="nb-NO"/>
        </w:rPr>
        <w:t>-</w:t>
      </w:r>
      <w:r w:rsidR="00F216A3">
        <w:rPr>
          <w:lang w:val="nb-NO"/>
        </w:rPr>
        <w:t>69</w:t>
      </w:r>
      <w:r>
        <w:rPr>
          <w:lang w:val="nb-NO"/>
        </w:rPr>
        <w:t xml:space="preserve">8) av lovens krav </w:t>
      </w:r>
      <w:r w:rsidR="00030207">
        <w:rPr>
          <w:lang w:val="nb-NO"/>
        </w:rPr>
        <w:t xml:space="preserve">i § 10 </w:t>
      </w:r>
      <w:r w:rsidR="00FB7210">
        <w:rPr>
          <w:lang w:val="nb-NO"/>
        </w:rPr>
        <w:t xml:space="preserve">tredje ledd </w:t>
      </w:r>
      <w:r>
        <w:rPr>
          <w:lang w:val="nb-NO"/>
        </w:rPr>
        <w:t>om at hen</w:t>
      </w:r>
      <w:r w:rsidR="00030207">
        <w:rPr>
          <w:lang w:val="nb-NO"/>
        </w:rPr>
        <w:t>leggelser skal grunngis</w:t>
      </w:r>
      <w:r>
        <w:rPr>
          <w:lang w:val="nb-NO"/>
        </w:rPr>
        <w:t xml:space="preserve">. Det </w:t>
      </w:r>
      <w:r w:rsidR="003F1172">
        <w:rPr>
          <w:lang w:val="nb-NO"/>
        </w:rPr>
        <w:t>burde vært gjort</w:t>
      </w:r>
      <w:r w:rsidR="00943161">
        <w:rPr>
          <w:lang w:val="nb-NO"/>
        </w:rPr>
        <w:t xml:space="preserve">. Rett nok er </w:t>
      </w:r>
      <w:r w:rsidR="00AC34EF">
        <w:rPr>
          <w:lang w:val="nb-NO"/>
        </w:rPr>
        <w:t xml:space="preserve">lovens betegnelse for </w:t>
      </w:r>
      <w:r w:rsidR="00943161">
        <w:rPr>
          <w:lang w:val="nb-NO"/>
        </w:rPr>
        <w:t xml:space="preserve">henleggelse </w:t>
      </w:r>
      <w:r w:rsidR="00047ED7">
        <w:rPr>
          <w:lang w:val="nb-NO"/>
        </w:rPr>
        <w:t>«</w:t>
      </w:r>
      <w:r w:rsidR="00943161">
        <w:rPr>
          <w:lang w:val="nb-NO"/>
        </w:rPr>
        <w:t>beslutning</w:t>
      </w:r>
      <w:r w:rsidR="00047ED7">
        <w:rPr>
          <w:lang w:val="nb-NO"/>
        </w:rPr>
        <w:t xml:space="preserve">» og ikke enkeltvedtak, det er </w:t>
      </w:r>
      <w:r w:rsidR="00943161">
        <w:rPr>
          <w:lang w:val="nb-NO"/>
        </w:rPr>
        <w:t xml:space="preserve">likevel </w:t>
      </w:r>
      <w:r w:rsidR="00A90C6C">
        <w:rPr>
          <w:lang w:val="nb-NO"/>
        </w:rPr>
        <w:t xml:space="preserve">alltid </w:t>
      </w:r>
      <w:r w:rsidR="00943161">
        <w:rPr>
          <w:lang w:val="nb-NO"/>
        </w:rPr>
        <w:t xml:space="preserve">argumenter å hente i forvaltningsloven § 25. </w:t>
      </w:r>
      <w:r>
        <w:rPr>
          <w:lang w:val="nb-NO"/>
        </w:rPr>
        <w:t xml:space="preserve"> </w:t>
      </w:r>
    </w:p>
    <w:p w14:paraId="06E19246" w14:textId="77777777" w:rsidR="006C015E" w:rsidRDefault="00485E04" w:rsidP="00570CE3">
      <w:pPr>
        <w:rPr>
          <w:lang w:val="nb-NO"/>
        </w:rPr>
      </w:pPr>
      <w:r>
        <w:rPr>
          <w:lang w:val="nb-NO"/>
        </w:rPr>
        <w:t xml:space="preserve">   </w:t>
      </w:r>
      <w:r w:rsidR="005E47CC">
        <w:rPr>
          <w:lang w:val="nb-NO"/>
        </w:rPr>
        <w:t xml:space="preserve">Diskrimineringsombudsloven faller utenfor en kommentar til </w:t>
      </w:r>
      <w:r w:rsidR="005E47CC" w:rsidRPr="00B005FE">
        <w:rPr>
          <w:lang w:val="nb-NO"/>
        </w:rPr>
        <w:t>likestillings- og diskrimineringsloven</w:t>
      </w:r>
      <w:r w:rsidR="008D4FAA">
        <w:rPr>
          <w:lang w:val="nb-NO"/>
        </w:rPr>
        <w:t>.</w:t>
      </w:r>
      <w:r w:rsidR="005E47CC">
        <w:rPr>
          <w:lang w:val="nb-NO"/>
        </w:rPr>
        <w:t xml:space="preserve"> </w:t>
      </w:r>
      <w:r>
        <w:rPr>
          <w:lang w:val="nb-NO"/>
        </w:rPr>
        <w:t>Ballangrud og Søbstad</w:t>
      </w:r>
      <w:r w:rsidR="003C1EDA">
        <w:rPr>
          <w:lang w:val="nb-NO"/>
        </w:rPr>
        <w:t xml:space="preserve"> har allikevel </w:t>
      </w:r>
      <w:r w:rsidR="00DF610E">
        <w:rPr>
          <w:lang w:val="nb-NO"/>
        </w:rPr>
        <w:t>noen sider</w:t>
      </w:r>
      <w:r w:rsidR="005E47CC">
        <w:rPr>
          <w:lang w:val="nb-NO"/>
        </w:rPr>
        <w:t xml:space="preserve"> om håndheving, som kommentar til </w:t>
      </w:r>
      <w:r w:rsidR="00AC34EF">
        <w:rPr>
          <w:lang w:val="nb-NO"/>
        </w:rPr>
        <w:t>sistnevntes</w:t>
      </w:r>
      <w:r w:rsidR="00AC34EF" w:rsidRPr="00AC34EF">
        <w:rPr>
          <w:lang w:val="nb-NO"/>
        </w:rPr>
        <w:t xml:space="preserve"> </w:t>
      </w:r>
      <w:r w:rsidR="005E47CC">
        <w:rPr>
          <w:lang w:val="nb-NO"/>
        </w:rPr>
        <w:t xml:space="preserve">§ 35. </w:t>
      </w:r>
      <w:r w:rsidR="003C7733">
        <w:rPr>
          <w:lang w:val="nb-NO"/>
        </w:rPr>
        <w:t xml:space="preserve">Her </w:t>
      </w:r>
      <w:r w:rsidR="007E5389">
        <w:rPr>
          <w:lang w:val="nb-NO"/>
        </w:rPr>
        <w:t>opplyses det om</w:t>
      </w:r>
      <w:r w:rsidR="003C7733">
        <w:rPr>
          <w:lang w:val="nb-NO"/>
        </w:rPr>
        <w:t xml:space="preserve"> </w:t>
      </w:r>
      <w:r w:rsidR="000F1841">
        <w:rPr>
          <w:lang w:val="nb-NO"/>
        </w:rPr>
        <w:t>d</w:t>
      </w:r>
      <w:r w:rsidR="003C7733">
        <w:rPr>
          <w:lang w:val="nb-NO"/>
        </w:rPr>
        <w:t>iskrimineringsombudsloven §</w:t>
      </w:r>
      <w:r w:rsidR="000F1841">
        <w:rPr>
          <w:lang w:val="nb-NO"/>
        </w:rPr>
        <w:t xml:space="preserve"> 2</w:t>
      </w:r>
      <w:r w:rsidR="00CC132D">
        <w:rPr>
          <w:lang w:val="nb-NO"/>
        </w:rPr>
        <w:t xml:space="preserve"> første ledd</w:t>
      </w:r>
      <w:r w:rsidR="003C1C50">
        <w:rPr>
          <w:lang w:val="nb-NO"/>
        </w:rPr>
        <w:t xml:space="preserve"> (side 599)</w:t>
      </w:r>
      <w:r w:rsidR="000F1841">
        <w:rPr>
          <w:lang w:val="nb-NO"/>
        </w:rPr>
        <w:t xml:space="preserve">. </w:t>
      </w:r>
    </w:p>
    <w:p w14:paraId="16B53836" w14:textId="77777777" w:rsidR="006011C8" w:rsidRDefault="006011C8" w:rsidP="006C015E">
      <w:pPr>
        <w:rPr>
          <w:lang w:val="nb-NO"/>
        </w:rPr>
      </w:pPr>
      <w:r>
        <w:rPr>
          <w:lang w:val="nb-NO"/>
        </w:rPr>
        <w:t xml:space="preserve">   Mer egnet for sammenligning er bøkenes ulike behandling av </w:t>
      </w:r>
      <w:r w:rsidR="006C015E" w:rsidRPr="004F0EF2">
        <w:rPr>
          <w:lang w:val="nb-NO"/>
        </w:rPr>
        <w:t xml:space="preserve">beviskravet </w:t>
      </w:r>
      <w:r w:rsidR="006C015E">
        <w:rPr>
          <w:lang w:val="nb-NO"/>
        </w:rPr>
        <w:t xml:space="preserve">i </w:t>
      </w:r>
      <w:r w:rsidRPr="00B005FE">
        <w:rPr>
          <w:lang w:val="nb-NO"/>
        </w:rPr>
        <w:t>likestillings- og diskrimineringsloven</w:t>
      </w:r>
      <w:r>
        <w:rPr>
          <w:lang w:val="nb-NO"/>
        </w:rPr>
        <w:t xml:space="preserve"> § 37 første ledd, som lyder (min utheving)</w:t>
      </w:r>
      <w:r w:rsidR="006C015E">
        <w:rPr>
          <w:lang w:val="nb-NO"/>
        </w:rPr>
        <w:t xml:space="preserve">: </w:t>
      </w:r>
    </w:p>
    <w:p w14:paraId="413A2C9C" w14:textId="77777777" w:rsidR="006011C8" w:rsidRPr="00650396" w:rsidRDefault="006011C8" w:rsidP="006C015E">
      <w:pPr>
        <w:rPr>
          <w:sz w:val="20"/>
          <w:szCs w:val="20"/>
          <w:lang w:val="nb-NO"/>
        </w:rPr>
      </w:pPr>
    </w:p>
    <w:p w14:paraId="6FCE30F7" w14:textId="77777777" w:rsidR="006011C8" w:rsidRPr="00650396" w:rsidRDefault="006C015E" w:rsidP="006C015E">
      <w:pPr>
        <w:rPr>
          <w:sz w:val="20"/>
          <w:szCs w:val="20"/>
          <w:lang w:val="nb-NO"/>
        </w:rPr>
      </w:pPr>
      <w:r w:rsidRPr="00650396">
        <w:rPr>
          <w:sz w:val="20"/>
          <w:szCs w:val="20"/>
          <w:lang w:val="nb-NO"/>
        </w:rPr>
        <w:t>«</w:t>
      </w:r>
      <w:r w:rsidR="00CC132D" w:rsidRPr="00650396">
        <w:rPr>
          <w:sz w:val="20"/>
          <w:szCs w:val="20"/>
          <w:lang w:val="nb-NO"/>
        </w:rPr>
        <w:t xml:space="preserve">Diskriminering skal anses å ha skjedd hvis det foreligger omstendigheter som gir grunn til å tro at diskriminering har skjedd, og den ansvarlige ikke </w:t>
      </w:r>
      <w:r w:rsidR="00CC132D" w:rsidRPr="00650396">
        <w:rPr>
          <w:i/>
          <w:sz w:val="20"/>
          <w:szCs w:val="20"/>
          <w:lang w:val="nb-NO"/>
        </w:rPr>
        <w:t>sannsynliggjør</w:t>
      </w:r>
      <w:r w:rsidR="00CC132D" w:rsidRPr="00650396">
        <w:rPr>
          <w:sz w:val="20"/>
          <w:szCs w:val="20"/>
          <w:lang w:val="nb-NO"/>
        </w:rPr>
        <w:t xml:space="preserve"> at diskriminering likevel ikke har skjedd.</w:t>
      </w:r>
      <w:r w:rsidRPr="00650396">
        <w:rPr>
          <w:sz w:val="20"/>
          <w:szCs w:val="20"/>
          <w:lang w:val="nb-NO"/>
        </w:rPr>
        <w:t xml:space="preserve">»  </w:t>
      </w:r>
      <w:r w:rsidR="006011C8" w:rsidRPr="00650396">
        <w:rPr>
          <w:sz w:val="20"/>
          <w:szCs w:val="20"/>
          <w:lang w:val="nb-NO"/>
        </w:rPr>
        <w:t xml:space="preserve"> </w:t>
      </w:r>
    </w:p>
    <w:p w14:paraId="54395AD5" w14:textId="77777777" w:rsidR="00650396" w:rsidRPr="00650396" w:rsidRDefault="00650396" w:rsidP="006C015E">
      <w:pPr>
        <w:rPr>
          <w:sz w:val="20"/>
          <w:szCs w:val="20"/>
          <w:lang w:val="nb-NO"/>
        </w:rPr>
      </w:pPr>
    </w:p>
    <w:p w14:paraId="375E74D2" w14:textId="77777777" w:rsidR="00650396" w:rsidRDefault="00650396" w:rsidP="006C015E">
      <w:pPr>
        <w:rPr>
          <w:lang w:val="nb-NO"/>
        </w:rPr>
      </w:pPr>
      <w:r>
        <w:rPr>
          <w:lang w:val="nb-NO"/>
        </w:rPr>
        <w:t xml:space="preserve">Her er situasjonen at det foreligger momenter som tyder på diskriminering, men den anklagede kan fri seg ved å påvise omstendigheter som viser at dette ikke er tilfellet. </w:t>
      </w:r>
      <w:r w:rsidR="00DD7AAB">
        <w:rPr>
          <w:lang w:val="nb-NO"/>
        </w:rPr>
        <w:t xml:space="preserve">Både forarbeider og rettspraksis tilsier at </w:t>
      </w:r>
      <w:r w:rsidR="007564F4">
        <w:rPr>
          <w:lang w:val="nb-NO"/>
        </w:rPr>
        <w:t>det vanlige norske beviskravet</w:t>
      </w:r>
      <w:r w:rsidR="00DD7AAB">
        <w:rPr>
          <w:lang w:val="nb-NO"/>
        </w:rPr>
        <w:t xml:space="preserve"> gjelder for anklagede, altså «</w:t>
      </w:r>
      <w:r w:rsidR="002E23B3">
        <w:rPr>
          <w:lang w:val="nb-NO"/>
        </w:rPr>
        <w:t>mer enn 50 prosent sannsynlighet</w:t>
      </w:r>
      <w:r w:rsidR="00DD7AAB">
        <w:rPr>
          <w:lang w:val="nb-NO"/>
        </w:rPr>
        <w:t>».</w:t>
      </w:r>
      <w:r w:rsidR="00DD7AAB">
        <w:rPr>
          <w:rStyle w:val="Fotnotereferanse"/>
          <w:lang w:val="nb-NO"/>
        </w:rPr>
        <w:footnoteReference w:id="14"/>
      </w:r>
      <w:r w:rsidR="00FD2CCC">
        <w:rPr>
          <w:lang w:val="nb-NO"/>
        </w:rPr>
        <w:t xml:space="preserve"> Ballangrud og Søbstad fremholder at dette er tilstrekkelig.</w:t>
      </w:r>
      <w:r w:rsidR="00FD2CCC">
        <w:rPr>
          <w:rStyle w:val="Fotnotereferanse"/>
          <w:lang w:val="nb-NO"/>
        </w:rPr>
        <w:footnoteReference w:id="15"/>
      </w:r>
    </w:p>
    <w:p w14:paraId="3DB47528" w14:textId="00C64F6E" w:rsidR="000236D6" w:rsidRDefault="0077668D" w:rsidP="006C015E">
      <w:pPr>
        <w:rPr>
          <w:lang w:val="nb-NO"/>
        </w:rPr>
      </w:pPr>
      <w:r>
        <w:rPr>
          <w:lang w:val="nb-NO"/>
        </w:rPr>
        <w:t xml:space="preserve">   </w:t>
      </w:r>
      <w:r w:rsidR="006C015E">
        <w:rPr>
          <w:lang w:val="nb-NO"/>
        </w:rPr>
        <w:t xml:space="preserve">Hellum og Strand </w:t>
      </w:r>
      <w:r w:rsidR="000E3563">
        <w:rPr>
          <w:lang w:val="nb-NO"/>
        </w:rPr>
        <w:t xml:space="preserve">mener derimot at </w:t>
      </w:r>
      <w:r w:rsidR="006C015E">
        <w:rPr>
          <w:lang w:val="nb-NO"/>
        </w:rPr>
        <w:t>innklagede må etablere</w:t>
      </w:r>
      <w:r w:rsidR="006C015E" w:rsidRPr="000E3563">
        <w:rPr>
          <w:lang w:val="nb-NO"/>
        </w:rPr>
        <w:t xml:space="preserve"> </w:t>
      </w:r>
      <w:r w:rsidR="006C015E" w:rsidRPr="000E3563">
        <w:rPr>
          <w:i/>
          <w:lang w:val="nb-NO"/>
        </w:rPr>
        <w:t>mer</w:t>
      </w:r>
      <w:r w:rsidR="006C015E" w:rsidRPr="000E3563">
        <w:rPr>
          <w:lang w:val="nb-NO"/>
        </w:rPr>
        <w:t xml:space="preserve"> enn </w:t>
      </w:r>
      <w:r w:rsidR="006C015E">
        <w:rPr>
          <w:lang w:val="nb-NO"/>
        </w:rPr>
        <w:t>alminnelig sannsynlighetsovervekt for at diskriminering ikke har skjedd. Presumsjonen for at diskriminering har skjedd</w:t>
      </w:r>
      <w:r w:rsidR="00F45EE6">
        <w:rPr>
          <w:lang w:val="nb-NO"/>
        </w:rPr>
        <w:t>,</w:t>
      </w:r>
      <w:r w:rsidR="006C015E">
        <w:rPr>
          <w:lang w:val="nb-NO"/>
        </w:rPr>
        <w:t xml:space="preserve"> må motbevises</w:t>
      </w:r>
      <w:r w:rsidR="00DF0F61">
        <w:rPr>
          <w:lang w:val="nb-NO"/>
        </w:rPr>
        <w:t>, skriver de</w:t>
      </w:r>
      <w:r w:rsidR="006C015E">
        <w:rPr>
          <w:lang w:val="nb-NO"/>
        </w:rPr>
        <w:t>.</w:t>
      </w:r>
      <w:r w:rsidR="000A3C46">
        <w:rPr>
          <w:rStyle w:val="Fotnotereferanse"/>
          <w:lang w:val="nb-NO"/>
        </w:rPr>
        <w:footnoteReference w:id="16"/>
      </w:r>
      <w:r w:rsidR="003A1C7B">
        <w:rPr>
          <w:lang w:val="nb-NO"/>
        </w:rPr>
        <w:t xml:space="preserve"> </w:t>
      </w:r>
      <w:r w:rsidR="006C015E">
        <w:rPr>
          <w:lang w:val="nb-NO"/>
        </w:rPr>
        <w:t xml:space="preserve">Dette synes for meg å være uten substans. Når det er sannsynliggjort at diskriminering ikke har skjedd, er det ikke lenger grunn til å tro dette. </w:t>
      </w:r>
    </w:p>
    <w:p w14:paraId="4EFF4357" w14:textId="77777777" w:rsidR="003A1C7B" w:rsidRDefault="000236D6" w:rsidP="00570CE3">
      <w:pPr>
        <w:rPr>
          <w:lang w:val="nb-NO"/>
        </w:rPr>
      </w:pPr>
      <w:r>
        <w:rPr>
          <w:lang w:val="nb-NO"/>
        </w:rPr>
        <w:t xml:space="preserve">   </w:t>
      </w:r>
      <w:r w:rsidR="00DF0F61">
        <w:rPr>
          <w:lang w:val="nb-NO"/>
        </w:rPr>
        <w:t xml:space="preserve">Deres begrunnelse for å </w:t>
      </w:r>
      <w:r w:rsidR="00F74B52">
        <w:rPr>
          <w:lang w:val="nb-NO"/>
        </w:rPr>
        <w:t>skjerpe</w:t>
      </w:r>
      <w:r w:rsidR="00DF0F61">
        <w:rPr>
          <w:lang w:val="nb-NO"/>
        </w:rPr>
        <w:t xml:space="preserve"> beviskravet er at </w:t>
      </w:r>
      <w:r w:rsidR="00670D40">
        <w:rPr>
          <w:lang w:val="nb-NO"/>
        </w:rPr>
        <w:t>den norske forståelsen av regelen er i strid med</w:t>
      </w:r>
      <w:r w:rsidR="00DF0F61">
        <w:rPr>
          <w:lang w:val="nb-NO"/>
        </w:rPr>
        <w:t xml:space="preserve"> </w:t>
      </w:r>
      <w:r w:rsidR="00670D40">
        <w:rPr>
          <w:lang w:val="nb-NO"/>
        </w:rPr>
        <w:t xml:space="preserve">EU- og </w:t>
      </w:r>
      <w:r w:rsidR="00DF0F61">
        <w:rPr>
          <w:lang w:val="nb-NO"/>
        </w:rPr>
        <w:t>EØS</w:t>
      </w:r>
      <w:r w:rsidR="00670D40">
        <w:rPr>
          <w:lang w:val="nb-NO"/>
        </w:rPr>
        <w:t xml:space="preserve">-retten. </w:t>
      </w:r>
      <w:r w:rsidR="00F824F7">
        <w:rPr>
          <w:lang w:val="nb-NO"/>
        </w:rPr>
        <w:t xml:space="preserve">Det gis intet belegg for dette fra EU-domstolens praksis, </w:t>
      </w:r>
      <w:r w:rsidR="00896851">
        <w:rPr>
          <w:lang w:val="nb-NO"/>
        </w:rPr>
        <w:t xml:space="preserve">Hellum og  Strand </w:t>
      </w:r>
      <w:r w:rsidR="00F824F7">
        <w:rPr>
          <w:lang w:val="nb-NO"/>
        </w:rPr>
        <w:t>nøyer seg med å gjengi fra en rapport</w:t>
      </w:r>
      <w:r w:rsidR="003F528E">
        <w:rPr>
          <w:lang w:val="nb-NO"/>
        </w:rPr>
        <w:t xml:space="preserve"> skrevet av to jurister,</w:t>
      </w:r>
      <w:r w:rsidR="00F824F7">
        <w:rPr>
          <w:lang w:val="nb-NO"/>
        </w:rPr>
        <w:t xml:space="preserve"> publisert av EU-kommisjonen i 2014.</w:t>
      </w:r>
      <w:r w:rsidR="00F824F7">
        <w:rPr>
          <w:rStyle w:val="Fotnotereferanse"/>
          <w:lang w:val="nb-NO"/>
        </w:rPr>
        <w:footnoteReference w:id="17"/>
      </w:r>
      <w:r w:rsidR="00F824F7">
        <w:rPr>
          <w:lang w:val="nb-NO"/>
        </w:rPr>
        <w:t xml:space="preserve"> </w:t>
      </w:r>
      <w:r w:rsidR="0007586E">
        <w:rPr>
          <w:lang w:val="nb-NO"/>
        </w:rPr>
        <w:t xml:space="preserve">I rapporten kommenteres en dom fra konstitusjonsdomstolen i Slovakia.    </w:t>
      </w:r>
    </w:p>
    <w:p w14:paraId="31C74935" w14:textId="08E7FFD4" w:rsidR="0007586E" w:rsidRDefault="003A1C7B" w:rsidP="00570CE3">
      <w:pPr>
        <w:rPr>
          <w:lang w:val="nb-NO"/>
        </w:rPr>
      </w:pPr>
      <w:r>
        <w:rPr>
          <w:lang w:val="nb-NO"/>
        </w:rPr>
        <w:t xml:space="preserve">   </w:t>
      </w:r>
      <w:r w:rsidR="0077668D">
        <w:rPr>
          <w:lang w:val="nb-NO"/>
        </w:rPr>
        <w:t xml:space="preserve">Magne Strandberg </w:t>
      </w:r>
      <w:r w:rsidR="0007586E">
        <w:rPr>
          <w:lang w:val="nb-NO"/>
        </w:rPr>
        <w:t xml:space="preserve">har i Lov og Rett påvist </w:t>
      </w:r>
      <w:r w:rsidR="00B14DFF">
        <w:rPr>
          <w:lang w:val="nb-NO"/>
        </w:rPr>
        <w:t xml:space="preserve">at </w:t>
      </w:r>
      <w:r w:rsidR="00511C90">
        <w:rPr>
          <w:lang w:val="nb-NO"/>
        </w:rPr>
        <w:t>det</w:t>
      </w:r>
      <w:r w:rsidR="001D0BC2">
        <w:rPr>
          <w:lang w:val="nb-NO"/>
        </w:rPr>
        <w:t>te</w:t>
      </w:r>
      <w:r w:rsidR="00511C90">
        <w:rPr>
          <w:lang w:val="nb-NO"/>
        </w:rPr>
        <w:t xml:space="preserve"> norske beviskravet </w:t>
      </w:r>
      <w:r w:rsidR="0004419F">
        <w:rPr>
          <w:lang w:val="nb-NO"/>
        </w:rPr>
        <w:t>neppe</w:t>
      </w:r>
      <w:r w:rsidR="00511C90">
        <w:rPr>
          <w:lang w:val="nb-NO"/>
        </w:rPr>
        <w:t xml:space="preserve"> er i strid med EU/EØS</w:t>
      </w:r>
      <w:r w:rsidR="00C669AA">
        <w:rPr>
          <w:lang w:val="nb-NO"/>
        </w:rPr>
        <w:t>-retten.</w:t>
      </w:r>
      <w:r w:rsidR="001D0BC2">
        <w:rPr>
          <w:lang w:val="nb-NO"/>
        </w:rPr>
        <w:t xml:space="preserve"> EU-direktivene sier ikke noe om hva beviskravet skal være</w:t>
      </w:r>
      <w:r w:rsidR="00F31815">
        <w:rPr>
          <w:lang w:val="nb-NO"/>
        </w:rPr>
        <w:t>,</w:t>
      </w:r>
      <w:r w:rsidR="00C669AA">
        <w:rPr>
          <w:lang w:val="nb-NO"/>
        </w:rPr>
        <w:t xml:space="preserve"> og EU-domstolen har ikke uttalt seg om dette</w:t>
      </w:r>
      <w:r w:rsidR="001D0BC2">
        <w:rPr>
          <w:lang w:val="nb-NO"/>
        </w:rPr>
        <w:t>.</w:t>
      </w:r>
      <w:r w:rsidR="00511C90">
        <w:rPr>
          <w:rStyle w:val="Fotnotereferanse"/>
          <w:lang w:val="nb-NO"/>
        </w:rPr>
        <w:footnoteReference w:id="18"/>
      </w:r>
      <w:r w:rsidR="00511C90">
        <w:rPr>
          <w:lang w:val="nb-NO"/>
        </w:rPr>
        <w:t xml:space="preserve"> </w:t>
      </w:r>
    </w:p>
    <w:p w14:paraId="45503F9C" w14:textId="77777777" w:rsidR="002E2AC6" w:rsidRDefault="002E2AC6" w:rsidP="00570CE3">
      <w:pPr>
        <w:rPr>
          <w:lang w:val="nb-NO"/>
        </w:rPr>
      </w:pPr>
      <w:r>
        <w:rPr>
          <w:lang w:val="nb-NO"/>
        </w:rPr>
        <w:t xml:space="preserve">   Hellum og </w:t>
      </w:r>
      <w:r w:rsidR="003A1C7B">
        <w:rPr>
          <w:lang w:val="nb-NO"/>
        </w:rPr>
        <w:t xml:space="preserve">Strands mange påstander om at </w:t>
      </w:r>
      <w:r w:rsidR="00760A61">
        <w:rPr>
          <w:lang w:val="nb-NO"/>
        </w:rPr>
        <w:t>deres løsning</w:t>
      </w:r>
      <w:r w:rsidR="003A1C7B">
        <w:rPr>
          <w:lang w:val="nb-NO"/>
        </w:rPr>
        <w:t xml:space="preserve"> følger av </w:t>
      </w:r>
      <w:r w:rsidR="00EA450A">
        <w:rPr>
          <w:lang w:val="nb-NO"/>
        </w:rPr>
        <w:t xml:space="preserve">EU/EØS-retten, må etter dette </w:t>
      </w:r>
      <w:r w:rsidR="004C7B78">
        <w:rPr>
          <w:lang w:val="nb-NO"/>
        </w:rPr>
        <w:t>nøye</w:t>
      </w:r>
      <w:r w:rsidR="001917DB">
        <w:rPr>
          <w:lang w:val="nb-NO"/>
        </w:rPr>
        <w:t xml:space="preserve"> ettergås i hvert enkelt tilfelle. </w:t>
      </w:r>
      <w:r w:rsidR="00760A61">
        <w:rPr>
          <w:lang w:val="nb-NO"/>
        </w:rPr>
        <w:t xml:space="preserve">Da dette er et perspektiv «som tas systematisk opp gjennom hele denne boken» (side 73), må en altså hele tiden være på vakt. </w:t>
      </w:r>
    </w:p>
    <w:p w14:paraId="32A516D8" w14:textId="77777777" w:rsidR="00B1557D" w:rsidRDefault="00E0138D" w:rsidP="00570CE3">
      <w:pPr>
        <w:rPr>
          <w:lang w:val="nb-NO"/>
        </w:rPr>
      </w:pPr>
      <w:r>
        <w:rPr>
          <w:lang w:val="nb-NO"/>
        </w:rPr>
        <w:t xml:space="preserve">   Eksemplene ovenfor gir også inntrykk av en f</w:t>
      </w:r>
      <w:r w:rsidR="006011C8" w:rsidRPr="00E0138D">
        <w:rPr>
          <w:lang w:val="nb-NO"/>
        </w:rPr>
        <w:t xml:space="preserve">remmedhet </w:t>
      </w:r>
      <w:r w:rsidR="006011C8">
        <w:rPr>
          <w:lang w:val="nb-NO"/>
        </w:rPr>
        <w:t xml:space="preserve">overfor vanlig juridisk tenkning og rettspraksis, som om diskrimineringsretten </w:t>
      </w:r>
      <w:r>
        <w:rPr>
          <w:lang w:val="nb-NO"/>
        </w:rPr>
        <w:t xml:space="preserve">skulle være </w:t>
      </w:r>
      <w:r w:rsidR="0076624C">
        <w:rPr>
          <w:lang w:val="nb-NO"/>
        </w:rPr>
        <w:t>et univers for seg</w:t>
      </w:r>
      <w:r w:rsidR="006011C8">
        <w:rPr>
          <w:lang w:val="nb-NO"/>
        </w:rPr>
        <w:t xml:space="preserve">. </w:t>
      </w:r>
      <w:r>
        <w:rPr>
          <w:lang w:val="nb-NO"/>
        </w:rPr>
        <w:t>I beviskrav-drøftelsen heter det</w:t>
      </w:r>
      <w:r w:rsidR="0076624C">
        <w:rPr>
          <w:lang w:val="nb-NO"/>
        </w:rPr>
        <w:t xml:space="preserve"> således</w:t>
      </w:r>
      <w:r w:rsidR="00B1557D">
        <w:rPr>
          <w:lang w:val="nb-NO"/>
        </w:rPr>
        <w:t xml:space="preserve"> (</w:t>
      </w:r>
      <w:r w:rsidR="00896851">
        <w:rPr>
          <w:lang w:val="nb-NO"/>
        </w:rPr>
        <w:t xml:space="preserve">side </w:t>
      </w:r>
      <w:r w:rsidR="00B1557D">
        <w:rPr>
          <w:lang w:val="nb-NO"/>
        </w:rPr>
        <w:t>374)</w:t>
      </w:r>
      <w:r>
        <w:rPr>
          <w:lang w:val="nb-NO"/>
        </w:rPr>
        <w:t>: «Både eldre og nyere nasjonale forarbeider, samt Høyesteretts uttalelser, bærer preg av at sivilprosessens utgangspunkter presses ned over den diskrimineringsrettslige bevisbyrderegelen [</w:t>
      </w:r>
      <w:r w:rsidR="0076624C">
        <w:rPr>
          <w:lang w:val="nb-NO"/>
        </w:rPr>
        <w:t>…].» A</w:t>
      </w:r>
      <w:r w:rsidR="0030680E">
        <w:rPr>
          <w:lang w:val="nb-NO"/>
        </w:rPr>
        <w:t>lminnelig bevisrett skal man</w:t>
      </w:r>
      <w:r w:rsidR="0076624C">
        <w:rPr>
          <w:lang w:val="nb-NO"/>
        </w:rPr>
        <w:t xml:space="preserve"> </w:t>
      </w:r>
      <w:r w:rsidR="00B1557D">
        <w:rPr>
          <w:lang w:val="nb-NO"/>
        </w:rPr>
        <w:t xml:space="preserve">med andre ord </w:t>
      </w:r>
      <w:r w:rsidR="0076624C">
        <w:rPr>
          <w:lang w:val="nb-NO"/>
        </w:rPr>
        <w:t>ha seg frabedt</w:t>
      </w:r>
      <w:r w:rsidR="00B1557D">
        <w:rPr>
          <w:lang w:val="nb-NO"/>
        </w:rPr>
        <w:t>.</w:t>
      </w:r>
      <w:r w:rsidR="0076624C">
        <w:rPr>
          <w:lang w:val="nb-NO"/>
        </w:rPr>
        <w:t xml:space="preserve"> </w:t>
      </w:r>
    </w:p>
    <w:p w14:paraId="026A27C7" w14:textId="2FD3AF0E" w:rsidR="00CC59AB" w:rsidRPr="002C0D76" w:rsidRDefault="00B1557D" w:rsidP="00570CE3">
      <w:pPr>
        <w:rPr>
          <w:lang w:val="nb-NO"/>
        </w:rPr>
      </w:pPr>
      <w:r>
        <w:rPr>
          <w:lang w:val="nb-NO"/>
        </w:rPr>
        <w:t xml:space="preserve">   </w:t>
      </w:r>
      <w:r w:rsidR="0076624C">
        <w:rPr>
          <w:lang w:val="nb-NO"/>
        </w:rPr>
        <w:t xml:space="preserve">Vi som er utenfor denne sfæren, ser vel jusen som en helhet der alle delene påvirker hverandre og diskrimineringsretten ikke har noen automatisk forrang. Den har absolutt sin plass i jusen, men begrenset. </w:t>
      </w:r>
      <w:r>
        <w:rPr>
          <w:lang w:val="nb-NO"/>
        </w:rPr>
        <w:t xml:space="preserve">Vi må ikke </w:t>
      </w:r>
      <w:r w:rsidR="00B5392C">
        <w:rPr>
          <w:lang w:val="nb-NO"/>
        </w:rPr>
        <w:t>gi den så stor plass som de ivri</w:t>
      </w:r>
      <w:r>
        <w:rPr>
          <w:lang w:val="nb-NO"/>
        </w:rPr>
        <w:t>gste tilhengerne forlanger</w:t>
      </w:r>
      <w:r w:rsidR="008F4D7A">
        <w:rPr>
          <w:lang w:val="nb-NO"/>
        </w:rPr>
        <w:t>,</w:t>
      </w:r>
      <w:r>
        <w:rPr>
          <w:lang w:val="nb-NO"/>
        </w:rPr>
        <w:t xml:space="preserve"> og</w:t>
      </w:r>
      <w:r w:rsidR="00B5392C">
        <w:rPr>
          <w:lang w:val="nb-NO"/>
        </w:rPr>
        <w:t xml:space="preserve"> vi </w:t>
      </w:r>
      <w:r w:rsidR="00E5704A">
        <w:rPr>
          <w:lang w:val="nb-NO"/>
        </w:rPr>
        <w:t xml:space="preserve">må </w:t>
      </w:r>
      <w:r w:rsidR="00B5392C">
        <w:rPr>
          <w:lang w:val="nb-NO"/>
        </w:rPr>
        <w:t xml:space="preserve">være på vakt overfor </w:t>
      </w:r>
      <w:r w:rsidR="00481738">
        <w:rPr>
          <w:lang w:val="nb-NO"/>
        </w:rPr>
        <w:t>de mest frelste</w:t>
      </w:r>
      <w:r w:rsidR="00B5392C">
        <w:rPr>
          <w:lang w:val="nb-NO"/>
        </w:rPr>
        <w:t>.</w:t>
      </w:r>
      <w:r w:rsidR="00481738">
        <w:rPr>
          <w:lang w:val="nb-NO"/>
        </w:rPr>
        <w:t xml:space="preserve"> </w:t>
      </w:r>
      <w:r w:rsidR="00B5392C">
        <w:rPr>
          <w:lang w:val="nb-NO"/>
        </w:rPr>
        <w:t xml:space="preserve">  </w:t>
      </w:r>
    </w:p>
    <w:sectPr w:rsidR="00CC59AB" w:rsidRPr="002C0D7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060A34" w14:textId="77777777" w:rsidR="00984DE8" w:rsidRDefault="00984DE8" w:rsidP="00562BD2">
      <w:r>
        <w:separator/>
      </w:r>
    </w:p>
  </w:endnote>
  <w:endnote w:type="continuationSeparator" w:id="0">
    <w:p w14:paraId="46EA819D" w14:textId="77777777" w:rsidR="00984DE8" w:rsidRDefault="00984DE8" w:rsidP="00562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69D52A" w14:textId="77777777" w:rsidR="00984DE8" w:rsidRDefault="00984DE8" w:rsidP="00562BD2">
      <w:r>
        <w:separator/>
      </w:r>
    </w:p>
  </w:footnote>
  <w:footnote w:type="continuationSeparator" w:id="0">
    <w:p w14:paraId="3084D211" w14:textId="77777777" w:rsidR="00984DE8" w:rsidRDefault="00984DE8" w:rsidP="00562BD2">
      <w:r>
        <w:continuationSeparator/>
      </w:r>
    </w:p>
  </w:footnote>
  <w:footnote w:id="1">
    <w:p w14:paraId="0D633769" w14:textId="77777777" w:rsidR="004A134A" w:rsidRPr="004C33A9" w:rsidRDefault="004A134A" w:rsidP="004A134A">
      <w:pPr>
        <w:rPr>
          <w:rFonts w:cstheme="minorBidi"/>
          <w:sz w:val="20"/>
          <w:szCs w:val="20"/>
          <w:lang w:val="nb-NO"/>
        </w:rPr>
      </w:pPr>
      <w:r>
        <w:rPr>
          <w:rStyle w:val="Fotnotereferanse"/>
          <w:sz w:val="20"/>
          <w:szCs w:val="20"/>
        </w:rPr>
        <w:footnoteRef/>
      </w:r>
      <w:r>
        <w:rPr>
          <w:sz w:val="20"/>
          <w:szCs w:val="20"/>
          <w:lang w:val="nb-NO"/>
        </w:rPr>
        <w:t xml:space="preserve"> NOU 2009: 14 </w:t>
      </w:r>
      <w:r>
        <w:rPr>
          <w:i/>
          <w:sz w:val="20"/>
          <w:szCs w:val="20"/>
          <w:lang w:val="nb-NO"/>
        </w:rPr>
        <w:t>Et helhetlig diskrimineringsvern</w:t>
      </w:r>
      <w:r>
        <w:rPr>
          <w:sz w:val="20"/>
          <w:szCs w:val="20"/>
          <w:lang w:val="nb-NO"/>
        </w:rPr>
        <w:t xml:space="preserve"> kapittel 12.13 Overvekt, side 141-142. </w:t>
      </w:r>
      <w:r w:rsidRPr="004C33A9">
        <w:rPr>
          <w:sz w:val="20"/>
          <w:szCs w:val="20"/>
          <w:lang w:val="nb-NO"/>
        </w:rPr>
        <w:t xml:space="preserve">Dommen angis å være fra 20. november 2008. </w:t>
      </w:r>
    </w:p>
  </w:footnote>
  <w:footnote w:id="2">
    <w:p w14:paraId="32516560" w14:textId="5AD349CE" w:rsidR="004A134A" w:rsidRDefault="004A134A" w:rsidP="004A134A">
      <w:pPr>
        <w:pStyle w:val="Fotnotetekst"/>
      </w:pPr>
      <w:r>
        <w:rPr>
          <w:rStyle w:val="Fotnotereferanse"/>
        </w:rPr>
        <w:footnoteRef/>
      </w:r>
      <w:r>
        <w:t xml:space="preserve"> </w:t>
      </w:r>
      <w:hyperlink r:id="rId1" w:history="1">
        <w:r>
          <w:rPr>
            <w:rStyle w:val="Hyperkobling"/>
            <w:rFonts w:eastAsiaTheme="majorEastAsia"/>
          </w:rPr>
          <w:t>Decision No. 6-AT-A-2008 | Canadian Transportation Agency (otc-cta.gc.ca)</w:t>
        </w:r>
      </w:hyperlink>
      <w:r w:rsidR="00A71187">
        <w:rPr>
          <w:rStyle w:val="Hyperkobling"/>
          <w:rFonts w:eastAsiaTheme="majorEastAsia"/>
        </w:rPr>
        <w:t xml:space="preserve">  </w:t>
      </w:r>
    </w:p>
  </w:footnote>
  <w:footnote w:id="3">
    <w:p w14:paraId="77AAF07C" w14:textId="77777777" w:rsidR="004A134A" w:rsidRDefault="004A134A" w:rsidP="004A134A">
      <w:pPr>
        <w:pStyle w:val="Fotnotetekst"/>
        <w:rPr>
          <w:lang w:val="nb-NO"/>
        </w:rPr>
      </w:pPr>
      <w:r>
        <w:rPr>
          <w:rStyle w:val="Fotnotereferanse"/>
        </w:rPr>
        <w:footnoteRef/>
      </w:r>
      <w:r>
        <w:rPr>
          <w:lang w:val="nb-NO"/>
        </w:rPr>
        <w:t xml:space="preserve"> Se transportrådets redegjørelse i </w:t>
      </w:r>
      <w:r w:rsidR="0087273D">
        <w:fldChar w:fldCharType="begin"/>
      </w:r>
      <w:r w:rsidR="0087273D" w:rsidRPr="007B2DC2">
        <w:rPr>
          <w:lang w:val="nb-NO"/>
        </w:rPr>
        <w:instrText xml:space="preserve"> HYPERLINK "https://otc-cta.gc.ca/e</w:instrText>
      </w:r>
      <w:r w:rsidR="0087273D" w:rsidRPr="007B2DC2">
        <w:rPr>
          <w:lang w:val="nb-NO"/>
        </w:rPr>
        <w:instrText xml:space="preserve">ng/highlights-one-person-one-fare-policy-decision?wbdisable=true" </w:instrText>
      </w:r>
      <w:r w:rsidR="0087273D">
        <w:fldChar w:fldCharType="separate"/>
      </w:r>
      <w:proofErr w:type="spellStart"/>
      <w:r>
        <w:rPr>
          <w:rStyle w:val="Hyperkobling"/>
          <w:rFonts w:eastAsiaTheme="majorEastAsia"/>
          <w:lang w:val="nb-NO"/>
        </w:rPr>
        <w:t>Highlights</w:t>
      </w:r>
      <w:proofErr w:type="spellEnd"/>
      <w:r>
        <w:rPr>
          <w:rStyle w:val="Hyperkobling"/>
          <w:rFonts w:eastAsiaTheme="majorEastAsia"/>
          <w:lang w:val="nb-NO"/>
        </w:rPr>
        <w:t xml:space="preserve"> </w:t>
      </w:r>
      <w:proofErr w:type="spellStart"/>
      <w:r>
        <w:rPr>
          <w:rStyle w:val="Hyperkobling"/>
          <w:rFonts w:eastAsiaTheme="majorEastAsia"/>
          <w:lang w:val="nb-NO"/>
        </w:rPr>
        <w:t>of</w:t>
      </w:r>
      <w:proofErr w:type="spellEnd"/>
      <w:r>
        <w:rPr>
          <w:rStyle w:val="Hyperkobling"/>
          <w:rFonts w:eastAsiaTheme="majorEastAsia"/>
          <w:lang w:val="nb-NO"/>
        </w:rPr>
        <w:t xml:space="preserve"> one-person-one-fare policy </w:t>
      </w:r>
      <w:proofErr w:type="spellStart"/>
      <w:r>
        <w:rPr>
          <w:rStyle w:val="Hyperkobling"/>
          <w:rFonts w:eastAsiaTheme="majorEastAsia"/>
          <w:lang w:val="nb-NO"/>
        </w:rPr>
        <w:t>decision</w:t>
      </w:r>
      <w:proofErr w:type="spellEnd"/>
      <w:r>
        <w:rPr>
          <w:rStyle w:val="Hyperkobling"/>
          <w:rFonts w:eastAsiaTheme="majorEastAsia"/>
          <w:lang w:val="nb-NO"/>
        </w:rPr>
        <w:t xml:space="preserve"> | Canadian </w:t>
      </w:r>
      <w:proofErr w:type="spellStart"/>
      <w:r>
        <w:rPr>
          <w:rStyle w:val="Hyperkobling"/>
          <w:rFonts w:eastAsiaTheme="majorEastAsia"/>
          <w:lang w:val="nb-NO"/>
        </w:rPr>
        <w:t>Transportation</w:t>
      </w:r>
      <w:proofErr w:type="spellEnd"/>
      <w:r>
        <w:rPr>
          <w:rStyle w:val="Hyperkobling"/>
          <w:rFonts w:eastAsiaTheme="majorEastAsia"/>
          <w:lang w:val="nb-NO"/>
        </w:rPr>
        <w:t xml:space="preserve"> </w:t>
      </w:r>
      <w:proofErr w:type="spellStart"/>
      <w:r>
        <w:rPr>
          <w:rStyle w:val="Hyperkobling"/>
          <w:rFonts w:eastAsiaTheme="majorEastAsia"/>
          <w:lang w:val="nb-NO"/>
        </w:rPr>
        <w:t>Agency</w:t>
      </w:r>
      <w:proofErr w:type="spellEnd"/>
      <w:r>
        <w:rPr>
          <w:rStyle w:val="Hyperkobling"/>
          <w:rFonts w:eastAsiaTheme="majorEastAsia"/>
          <w:lang w:val="nb-NO"/>
        </w:rPr>
        <w:t xml:space="preserve"> (otc-cta.gc.ca)</w:t>
      </w:r>
      <w:r w:rsidR="0087273D">
        <w:rPr>
          <w:rStyle w:val="Hyperkobling"/>
          <w:rFonts w:eastAsiaTheme="majorEastAsia"/>
          <w:lang w:val="nb-NO"/>
        </w:rPr>
        <w:fldChar w:fldCharType="end"/>
      </w:r>
      <w:r>
        <w:rPr>
          <w:rStyle w:val="Hyperkobling"/>
          <w:rFonts w:eastAsiaTheme="majorEastAsia"/>
          <w:lang w:val="nb-NO"/>
        </w:rPr>
        <w:t xml:space="preserve"> [lest 1.12.2022]</w:t>
      </w:r>
      <w:r>
        <w:rPr>
          <w:lang w:val="nb-NO"/>
        </w:rPr>
        <w:t xml:space="preserve">, der det også fremgår at avgjørelsen ikke gjelder for overvektige som ikke er funksjonshemmede som følge av dette. </w:t>
      </w:r>
    </w:p>
  </w:footnote>
  <w:footnote w:id="4">
    <w:p w14:paraId="5621E023" w14:textId="6562F1C6" w:rsidR="000F5474" w:rsidRPr="007A5F3B" w:rsidRDefault="000F5474">
      <w:pPr>
        <w:pStyle w:val="Fotnotetekst"/>
        <w:rPr>
          <w:lang w:val="nb-NO"/>
        </w:rPr>
      </w:pPr>
      <w:r w:rsidRPr="00503AAE">
        <w:rPr>
          <w:rStyle w:val="Fotnotereferanse"/>
          <w:lang w:val="nb-NO"/>
        </w:rPr>
        <w:footnoteRef/>
      </w:r>
      <w:r w:rsidRPr="00564F30">
        <w:rPr>
          <w:lang w:val="nb-NO"/>
        </w:rPr>
        <w:t xml:space="preserve"> Med begrenset overprøvning ved domstolene: bare den som felle</w:t>
      </w:r>
      <w:r w:rsidR="0039362C" w:rsidRPr="00564F30">
        <w:rPr>
          <w:lang w:val="nb-NO"/>
        </w:rPr>
        <w:t xml:space="preserve">s, kan bringe vedtaket inn der, </w:t>
      </w:r>
      <w:r w:rsidRPr="00564F30">
        <w:rPr>
          <w:lang w:val="nb-NO"/>
        </w:rPr>
        <w:t>jfr Rt</w:t>
      </w:r>
      <w:r w:rsidR="00952637">
        <w:rPr>
          <w:lang w:val="nb-NO"/>
        </w:rPr>
        <w:t>.</w:t>
      </w:r>
      <w:r w:rsidR="004A134A">
        <w:rPr>
          <w:lang w:val="nb-NO"/>
        </w:rPr>
        <w:t xml:space="preserve"> </w:t>
      </w:r>
      <w:r w:rsidRPr="00564F30">
        <w:rPr>
          <w:lang w:val="nb-NO"/>
        </w:rPr>
        <w:t>2015</w:t>
      </w:r>
      <w:r w:rsidR="00952637">
        <w:rPr>
          <w:lang w:val="nb-NO"/>
        </w:rPr>
        <w:t xml:space="preserve"> side</w:t>
      </w:r>
      <w:r w:rsidR="004A134A">
        <w:rPr>
          <w:lang w:val="nb-NO"/>
        </w:rPr>
        <w:t xml:space="preserve"> </w:t>
      </w:r>
      <w:r w:rsidRPr="00564F30">
        <w:rPr>
          <w:lang w:val="nb-NO"/>
        </w:rPr>
        <w:t>1313 (26) om tidligere § 12 i diskrimineringso</w:t>
      </w:r>
      <w:r w:rsidR="0039362C" w:rsidRPr="00564F30">
        <w:rPr>
          <w:lang w:val="nb-NO"/>
        </w:rPr>
        <w:t>mbudsloven</w:t>
      </w:r>
      <w:r w:rsidR="009433F7" w:rsidRPr="00564F30">
        <w:rPr>
          <w:lang w:val="nb-NO"/>
        </w:rPr>
        <w:t xml:space="preserve"> (nr 50/2017), se nå §§</w:t>
      </w:r>
      <w:r w:rsidR="005A60C8" w:rsidRPr="00564F30">
        <w:rPr>
          <w:lang w:val="nb-NO"/>
        </w:rPr>
        <w:t xml:space="preserve"> 2 a,</w:t>
      </w:r>
      <w:r w:rsidR="009433F7" w:rsidRPr="00564F30">
        <w:rPr>
          <w:lang w:val="nb-NO"/>
        </w:rPr>
        <w:t xml:space="preserve"> 11, </w:t>
      </w:r>
      <w:r w:rsidR="0039362C" w:rsidRPr="00564F30">
        <w:rPr>
          <w:lang w:val="nb-NO"/>
        </w:rPr>
        <w:t>1 og 16</w:t>
      </w:r>
      <w:r w:rsidR="006501EB" w:rsidRPr="00564F30">
        <w:rPr>
          <w:lang w:val="nb-NO"/>
        </w:rPr>
        <w:t>, 2</w:t>
      </w:r>
      <w:r w:rsidRPr="00564F30">
        <w:rPr>
          <w:lang w:val="nb-NO"/>
        </w:rPr>
        <w:t xml:space="preserve">. </w:t>
      </w:r>
      <w:r w:rsidR="0060350D" w:rsidRPr="007A5F3B">
        <w:rPr>
          <w:lang w:val="nb-NO"/>
        </w:rPr>
        <w:t>Jfr Hellum og Strand</w:t>
      </w:r>
      <w:r w:rsidR="00831365" w:rsidRPr="007A5F3B">
        <w:rPr>
          <w:lang w:val="nb-NO"/>
        </w:rPr>
        <w:t>,</w:t>
      </w:r>
      <w:r w:rsidR="0060350D" w:rsidRPr="007A5F3B">
        <w:rPr>
          <w:lang w:val="nb-NO"/>
        </w:rPr>
        <w:t xml:space="preserve"> side 694. </w:t>
      </w:r>
    </w:p>
  </w:footnote>
  <w:footnote w:id="5">
    <w:p w14:paraId="6CA075B4" w14:textId="34811EB0" w:rsidR="00503AAE" w:rsidRPr="007A5F3B" w:rsidRDefault="00503AAE">
      <w:pPr>
        <w:pStyle w:val="Fotnotetekst"/>
        <w:rPr>
          <w:lang w:val="nb-NO"/>
        </w:rPr>
      </w:pPr>
      <w:r w:rsidRPr="00503AAE">
        <w:rPr>
          <w:rStyle w:val="Fotnotereferanse"/>
          <w:lang w:val="nb-NO"/>
        </w:rPr>
        <w:footnoteRef/>
      </w:r>
      <w:r w:rsidRPr="007A5F3B">
        <w:rPr>
          <w:lang w:val="nb-NO"/>
        </w:rPr>
        <w:t xml:space="preserve"> </w:t>
      </w:r>
      <w:r w:rsidR="00F9364B" w:rsidRPr="007A5F3B">
        <w:rPr>
          <w:lang w:val="nb-NO"/>
        </w:rPr>
        <w:t xml:space="preserve">Jfr </w:t>
      </w:r>
      <w:r w:rsidR="00A50DDA" w:rsidRPr="007A5F3B">
        <w:rPr>
          <w:lang w:val="nb-NO"/>
        </w:rPr>
        <w:t xml:space="preserve">Innst. 186 S (2013–2014) </w:t>
      </w:r>
      <w:r w:rsidR="00A50DDA" w:rsidRPr="007A5F3B">
        <w:rPr>
          <w:i/>
          <w:lang w:val="nb-NO"/>
        </w:rPr>
        <w:t>Innstilling til Stortinget fra kontroll- og konstitusjonskomiteen</w:t>
      </w:r>
      <w:r w:rsidR="00A50DDA" w:rsidRPr="007A5F3B">
        <w:rPr>
          <w:lang w:val="nb-NO"/>
        </w:rPr>
        <w:t xml:space="preserve"> side 25</w:t>
      </w:r>
      <w:r w:rsidR="003209AB">
        <w:rPr>
          <w:lang w:val="nb-NO"/>
        </w:rPr>
        <w:t>,</w:t>
      </w:r>
      <w:r w:rsidR="00A50DDA" w:rsidRPr="007A5F3B">
        <w:rPr>
          <w:lang w:val="nb-NO"/>
        </w:rPr>
        <w:t xml:space="preserve"> og</w:t>
      </w:r>
      <w:r w:rsidR="00831365" w:rsidRPr="007A5F3B">
        <w:rPr>
          <w:lang w:val="nb-NO"/>
        </w:rPr>
        <w:t xml:space="preserve"> B</w:t>
      </w:r>
      <w:r w:rsidR="002D7129" w:rsidRPr="007A5F3B">
        <w:rPr>
          <w:lang w:val="nb-NO"/>
        </w:rPr>
        <w:t>allangrud og Søbstad,</w:t>
      </w:r>
      <w:r w:rsidR="00831365" w:rsidRPr="007A5F3B">
        <w:rPr>
          <w:lang w:val="nb-NO"/>
        </w:rPr>
        <w:t xml:space="preserve"> side 49</w:t>
      </w:r>
      <w:r w:rsidR="004A134A" w:rsidRPr="007A5F3B">
        <w:rPr>
          <w:lang w:val="nb-NO"/>
        </w:rPr>
        <w:t>–</w:t>
      </w:r>
      <w:r w:rsidR="00831365" w:rsidRPr="007A5F3B">
        <w:rPr>
          <w:lang w:val="nb-NO"/>
        </w:rPr>
        <w:t>51</w:t>
      </w:r>
      <w:r w:rsidR="00BF42FB" w:rsidRPr="007A5F3B">
        <w:rPr>
          <w:lang w:val="nb-NO"/>
        </w:rPr>
        <w:t xml:space="preserve">. </w:t>
      </w:r>
      <w:r w:rsidR="00672155" w:rsidRPr="007A5F3B">
        <w:rPr>
          <w:lang w:val="nb-NO"/>
        </w:rPr>
        <w:t>I annen retning</w:t>
      </w:r>
      <w:r w:rsidR="00BF42FB" w:rsidRPr="007A5F3B">
        <w:rPr>
          <w:lang w:val="nb-NO"/>
        </w:rPr>
        <w:t xml:space="preserve"> </w:t>
      </w:r>
      <w:r w:rsidR="002D7129" w:rsidRPr="007A5F3B">
        <w:rPr>
          <w:lang w:val="nb-NO"/>
        </w:rPr>
        <w:t>HR-2022-350-A avsnitt 39</w:t>
      </w:r>
      <w:r w:rsidR="00831365" w:rsidRPr="007A5F3B">
        <w:rPr>
          <w:lang w:val="nb-NO"/>
        </w:rPr>
        <w:t>.</w:t>
      </w:r>
      <w:r w:rsidR="002D7129" w:rsidRPr="007A5F3B">
        <w:rPr>
          <w:lang w:val="nb-NO"/>
        </w:rPr>
        <w:t xml:space="preserve"> </w:t>
      </w:r>
      <w:r w:rsidR="00831365" w:rsidRPr="007A5F3B">
        <w:rPr>
          <w:lang w:val="nb-NO"/>
        </w:rPr>
        <w:t xml:space="preserve"> </w:t>
      </w:r>
      <w:r w:rsidRPr="007A5F3B">
        <w:rPr>
          <w:lang w:val="nb-NO"/>
        </w:rPr>
        <w:t xml:space="preserve"> </w:t>
      </w:r>
    </w:p>
  </w:footnote>
  <w:footnote w:id="6">
    <w:p w14:paraId="62D0762C" w14:textId="2EEB75AF" w:rsidR="00496DAC" w:rsidRPr="00496DAC" w:rsidRDefault="00496DAC">
      <w:pPr>
        <w:pStyle w:val="Fotnotetekst"/>
        <w:rPr>
          <w:lang w:val="nb-NO"/>
        </w:rPr>
      </w:pPr>
      <w:r>
        <w:rPr>
          <w:rStyle w:val="Fotnotereferanse"/>
        </w:rPr>
        <w:footnoteRef/>
      </w:r>
      <w:r w:rsidRPr="00707F84">
        <w:rPr>
          <w:lang w:val="nb-NO"/>
        </w:rPr>
        <w:t xml:space="preserve"> Betraktninger om positiv forskjellsbehandl</w:t>
      </w:r>
      <w:r>
        <w:rPr>
          <w:lang w:val="nb-NO"/>
        </w:rPr>
        <w:t xml:space="preserve">ing, lovens § </w:t>
      </w:r>
      <w:r w:rsidR="009C5993">
        <w:rPr>
          <w:lang w:val="nb-NO"/>
        </w:rPr>
        <w:t>11</w:t>
      </w:r>
      <w:r w:rsidR="005D0101">
        <w:rPr>
          <w:lang w:val="nb-NO"/>
        </w:rPr>
        <w:t xml:space="preserve">, strekker </w:t>
      </w:r>
      <w:r w:rsidR="00D369EB">
        <w:rPr>
          <w:lang w:val="nb-NO"/>
        </w:rPr>
        <w:t>neppe til her;</w:t>
      </w:r>
      <w:r w:rsidR="005D0101">
        <w:rPr>
          <w:lang w:val="nb-NO"/>
        </w:rPr>
        <w:t xml:space="preserve"> dette er dessuten</w:t>
      </w:r>
      <w:r w:rsidR="003C0EA5">
        <w:rPr>
          <w:lang w:val="nb-NO"/>
        </w:rPr>
        <w:t xml:space="preserve"> ikke en rettighet</w:t>
      </w:r>
      <w:r w:rsidR="00341B1D">
        <w:rPr>
          <w:lang w:val="nb-NO"/>
        </w:rPr>
        <w:t xml:space="preserve">, jfr </w:t>
      </w:r>
      <w:r w:rsidR="00341B1D" w:rsidRPr="00341B1D">
        <w:rPr>
          <w:lang w:val="nb-NO"/>
        </w:rPr>
        <w:t>HR-2022-350-A</w:t>
      </w:r>
      <w:r w:rsidR="00341B1D">
        <w:rPr>
          <w:lang w:val="nb-NO"/>
        </w:rPr>
        <w:t xml:space="preserve"> avsnitt 51</w:t>
      </w:r>
      <w:r w:rsidR="003C0EA5">
        <w:rPr>
          <w:lang w:val="nb-NO"/>
        </w:rPr>
        <w:t>.</w:t>
      </w:r>
      <w:r w:rsidR="00341B1D">
        <w:rPr>
          <w:lang w:val="nb-NO"/>
        </w:rPr>
        <w:t xml:space="preserve"> – Noen </w:t>
      </w:r>
      <w:r w:rsidR="00BE64D2">
        <w:rPr>
          <w:lang w:val="nb-NO"/>
        </w:rPr>
        <w:t>vil sikkert hevde at tilfellet er indirekte diskriminering, lovens §</w:t>
      </w:r>
      <w:r w:rsidR="00310DA4">
        <w:rPr>
          <w:lang w:val="nb-NO"/>
        </w:rPr>
        <w:t xml:space="preserve"> 8</w:t>
      </w:r>
      <w:r w:rsidR="00BE64D2">
        <w:rPr>
          <w:lang w:val="nb-NO"/>
        </w:rPr>
        <w:t>.</w:t>
      </w:r>
      <w:r w:rsidR="00310DA4">
        <w:rPr>
          <w:lang w:val="nb-NO"/>
        </w:rPr>
        <w:t xml:space="preserve"> </w:t>
      </w:r>
      <w:r w:rsidR="00BE64D2">
        <w:rPr>
          <w:lang w:val="nb-NO"/>
        </w:rPr>
        <w:t xml:space="preserve"> </w:t>
      </w:r>
    </w:p>
  </w:footnote>
  <w:footnote w:id="7">
    <w:p w14:paraId="72525285" w14:textId="2ADB93EE" w:rsidR="00385476" w:rsidRPr="00385476" w:rsidRDefault="00385476">
      <w:pPr>
        <w:pStyle w:val="Fotnotetekst"/>
        <w:rPr>
          <w:lang w:val="nb-NO"/>
        </w:rPr>
      </w:pPr>
      <w:r>
        <w:rPr>
          <w:rStyle w:val="Fotnotereferanse"/>
        </w:rPr>
        <w:footnoteRef/>
      </w:r>
      <w:r w:rsidRPr="00385476">
        <w:rPr>
          <w:lang w:val="nb-NO"/>
        </w:rPr>
        <w:t xml:space="preserve"> </w:t>
      </w:r>
      <w:r w:rsidR="003C1C2E">
        <w:rPr>
          <w:lang w:val="nb-NO"/>
        </w:rPr>
        <w:t xml:space="preserve">Jfr </w:t>
      </w:r>
      <w:r w:rsidRPr="00385476">
        <w:rPr>
          <w:lang w:val="nb-NO"/>
        </w:rPr>
        <w:t xml:space="preserve">Prop. 81 L (2016–2017) </w:t>
      </w:r>
      <w:r w:rsidRPr="00385476">
        <w:rPr>
          <w:i/>
          <w:lang w:val="nb-NO"/>
        </w:rPr>
        <w:t>Lov om likestilling og forbud mot diskriminering (likestillings- og diskrimineringsloven)</w:t>
      </w:r>
      <w:r>
        <w:rPr>
          <w:lang w:val="nb-NO"/>
        </w:rPr>
        <w:t xml:space="preserve"> side </w:t>
      </w:r>
      <w:r w:rsidR="003C1C2E">
        <w:rPr>
          <w:lang w:val="nb-NO"/>
        </w:rPr>
        <w:t>127</w:t>
      </w:r>
      <w:r w:rsidR="004A134A">
        <w:rPr>
          <w:lang w:val="nb-NO"/>
        </w:rPr>
        <w:t>–</w:t>
      </w:r>
      <w:r w:rsidR="003C1C2E">
        <w:rPr>
          <w:lang w:val="nb-NO"/>
        </w:rPr>
        <w:t xml:space="preserve">128 jfr </w:t>
      </w:r>
      <w:r>
        <w:rPr>
          <w:lang w:val="nb-NO"/>
        </w:rPr>
        <w:t xml:space="preserve">119 om forholdsmessighetsvurderingen. </w:t>
      </w:r>
    </w:p>
  </w:footnote>
  <w:footnote w:id="8">
    <w:p w14:paraId="5B349EAB" w14:textId="77777777" w:rsidR="007161BE" w:rsidRPr="00385476" w:rsidRDefault="007161BE" w:rsidP="007161BE">
      <w:pPr>
        <w:pStyle w:val="Fotnotetekst"/>
        <w:rPr>
          <w:lang w:val="nb-NO"/>
        </w:rPr>
      </w:pPr>
      <w:r>
        <w:rPr>
          <w:rStyle w:val="Fotnotereferanse"/>
        </w:rPr>
        <w:footnoteRef/>
      </w:r>
      <w:r w:rsidRPr="00385476">
        <w:rPr>
          <w:lang w:val="nb-NO"/>
        </w:rPr>
        <w:t xml:space="preserve"> Prop. 81 L (2016–2017) side </w:t>
      </w:r>
      <w:r w:rsidR="00123FB8">
        <w:rPr>
          <w:lang w:val="nb-NO"/>
        </w:rPr>
        <w:t>104</w:t>
      </w:r>
      <w:r w:rsidR="00DF4D3A">
        <w:rPr>
          <w:lang w:val="nb-NO"/>
        </w:rPr>
        <w:t xml:space="preserve">, om </w:t>
      </w:r>
      <w:r w:rsidR="003B029D">
        <w:rPr>
          <w:lang w:val="nb-NO"/>
        </w:rPr>
        <w:t xml:space="preserve">videreføring i </w:t>
      </w:r>
      <w:r w:rsidR="00DF4D3A">
        <w:rPr>
          <w:lang w:val="nb-NO"/>
        </w:rPr>
        <w:t>ny lov side 110</w:t>
      </w:r>
      <w:r w:rsidRPr="00385476">
        <w:rPr>
          <w:lang w:val="nb-NO"/>
        </w:rPr>
        <w:t>.</w:t>
      </w:r>
      <w:r w:rsidR="00DF4D3A">
        <w:rPr>
          <w:lang w:val="nb-NO"/>
        </w:rPr>
        <w:t xml:space="preserve"> </w:t>
      </w:r>
      <w:r w:rsidR="00123FB8">
        <w:rPr>
          <w:lang w:val="nb-NO"/>
        </w:rPr>
        <w:t xml:space="preserve"> </w:t>
      </w:r>
    </w:p>
  </w:footnote>
  <w:footnote w:id="9">
    <w:p w14:paraId="0CB7E4C2" w14:textId="41A225B8" w:rsidR="00E97037" w:rsidRPr="00E97037" w:rsidRDefault="00E97037">
      <w:pPr>
        <w:pStyle w:val="Fotnotetekst"/>
        <w:rPr>
          <w:lang w:val="nb-NO"/>
        </w:rPr>
      </w:pPr>
      <w:r>
        <w:rPr>
          <w:rStyle w:val="Fotnotereferanse"/>
        </w:rPr>
        <w:footnoteRef/>
      </w:r>
      <w:r w:rsidRPr="00E97037">
        <w:rPr>
          <w:lang w:val="nb-NO"/>
        </w:rPr>
        <w:t xml:space="preserve"> </w:t>
      </w:r>
      <w:r>
        <w:rPr>
          <w:lang w:val="nb-NO"/>
        </w:rPr>
        <w:t xml:space="preserve">Uttalelse i sak </w:t>
      </w:r>
      <w:r w:rsidR="0042445F">
        <w:rPr>
          <w:lang w:val="nb-NO"/>
        </w:rPr>
        <w:t xml:space="preserve">LDO </w:t>
      </w:r>
      <w:r w:rsidRPr="00E97037">
        <w:rPr>
          <w:lang w:val="nb-NO"/>
        </w:rPr>
        <w:t xml:space="preserve">14/840 </w:t>
      </w:r>
      <w:r>
        <w:rPr>
          <w:lang w:val="nb-NO"/>
        </w:rPr>
        <w:t>«</w:t>
      </w:r>
      <w:r w:rsidRPr="00E97037">
        <w:rPr>
          <w:lang w:val="nb-NO"/>
        </w:rPr>
        <w:t>Diskriminering på grunn av grunn av kjønnsidentitet</w:t>
      </w:r>
      <w:r w:rsidR="003D1D5F">
        <w:rPr>
          <w:lang w:val="nb-NO"/>
        </w:rPr>
        <w:t>». I</w:t>
      </w:r>
      <w:r>
        <w:rPr>
          <w:lang w:val="nb-NO"/>
        </w:rPr>
        <w:t xml:space="preserve"> Hellum og Strand s</w:t>
      </w:r>
      <w:r w:rsidR="003D1D5F">
        <w:rPr>
          <w:lang w:val="nb-NO"/>
        </w:rPr>
        <w:t>ide</w:t>
      </w:r>
      <w:r>
        <w:rPr>
          <w:lang w:val="nb-NO"/>
        </w:rPr>
        <w:t xml:space="preserve"> 70 </w:t>
      </w:r>
      <w:r w:rsidR="003B1FE1">
        <w:rPr>
          <w:lang w:val="nb-NO"/>
        </w:rPr>
        <w:t>misvisende</w:t>
      </w:r>
      <w:r>
        <w:rPr>
          <w:lang w:val="nb-NO"/>
        </w:rPr>
        <w:t xml:space="preserve"> angitt som LDO 14/</w:t>
      </w:r>
      <w:r w:rsidR="003B1FE1">
        <w:rPr>
          <w:lang w:val="nb-NO"/>
        </w:rPr>
        <w:t xml:space="preserve">1667. </w:t>
      </w:r>
    </w:p>
  </w:footnote>
  <w:footnote w:id="10">
    <w:p w14:paraId="05CFA9C4" w14:textId="59AF4A7A" w:rsidR="004934AD" w:rsidRPr="004934AD" w:rsidRDefault="004934AD">
      <w:pPr>
        <w:pStyle w:val="Fotnotetekst"/>
        <w:rPr>
          <w:lang w:val="nb-NO"/>
        </w:rPr>
      </w:pPr>
      <w:r>
        <w:rPr>
          <w:rStyle w:val="Fotnotereferanse"/>
        </w:rPr>
        <w:footnoteRef/>
      </w:r>
      <w:r w:rsidRPr="008F0739">
        <w:rPr>
          <w:lang w:val="nb-NO"/>
        </w:rPr>
        <w:t xml:space="preserve"> </w:t>
      </w:r>
      <w:r>
        <w:rPr>
          <w:lang w:val="nb-NO"/>
        </w:rPr>
        <w:t>Hellum og Strand</w:t>
      </w:r>
      <w:r w:rsidR="004752DF">
        <w:rPr>
          <w:lang w:val="nb-NO"/>
        </w:rPr>
        <w:t>,</w:t>
      </w:r>
      <w:r>
        <w:rPr>
          <w:lang w:val="nb-NO"/>
        </w:rPr>
        <w:t xml:space="preserve"> side 69</w:t>
      </w:r>
      <w:r w:rsidR="004A134A">
        <w:rPr>
          <w:lang w:val="nb-NO"/>
        </w:rPr>
        <w:t>–</w:t>
      </w:r>
      <w:r>
        <w:rPr>
          <w:lang w:val="nb-NO"/>
        </w:rPr>
        <w:t xml:space="preserve">70. </w:t>
      </w:r>
      <w:r w:rsidR="00E15975">
        <w:rPr>
          <w:lang w:val="nb-NO"/>
        </w:rPr>
        <w:t>De nevner at uttalelsen ble påberopt i to lagm</w:t>
      </w:r>
      <w:r w:rsidR="003F7609">
        <w:rPr>
          <w:lang w:val="nb-NO"/>
        </w:rPr>
        <w:t>annsrettssaker, men ikke hvilket</w:t>
      </w:r>
      <w:r w:rsidR="00E15975">
        <w:rPr>
          <w:lang w:val="nb-NO"/>
        </w:rPr>
        <w:t xml:space="preserve"> endelikt den fikk der. </w:t>
      </w:r>
    </w:p>
  </w:footnote>
  <w:footnote w:id="11">
    <w:p w14:paraId="0AB07C07" w14:textId="381C82F1" w:rsidR="00C903E0" w:rsidRPr="00C903E0" w:rsidRDefault="00C903E0">
      <w:pPr>
        <w:pStyle w:val="Fotnotetekst"/>
        <w:rPr>
          <w:lang w:val="nb-NO"/>
        </w:rPr>
      </w:pPr>
      <w:r>
        <w:rPr>
          <w:rStyle w:val="Fotnotereferanse"/>
        </w:rPr>
        <w:footnoteRef/>
      </w:r>
      <w:r w:rsidRPr="00C903E0">
        <w:rPr>
          <w:lang w:val="nb-NO"/>
        </w:rPr>
        <w:t xml:space="preserve"> </w:t>
      </w:r>
      <w:r>
        <w:rPr>
          <w:lang w:val="nb-NO"/>
        </w:rPr>
        <w:t xml:space="preserve">Hellum og </w:t>
      </w:r>
      <w:r w:rsidR="00F81AE6">
        <w:rPr>
          <w:lang w:val="nb-NO"/>
        </w:rPr>
        <w:t>Strand</w:t>
      </w:r>
      <w:r w:rsidR="004752DF">
        <w:rPr>
          <w:lang w:val="nb-NO"/>
        </w:rPr>
        <w:t>,</w:t>
      </w:r>
      <w:r w:rsidR="00F81AE6">
        <w:rPr>
          <w:lang w:val="nb-NO"/>
        </w:rPr>
        <w:t xml:space="preserve"> </w:t>
      </w:r>
      <w:r w:rsidR="00B5392C">
        <w:rPr>
          <w:lang w:val="nb-NO"/>
        </w:rPr>
        <w:t xml:space="preserve">side 70 </w:t>
      </w:r>
      <w:r w:rsidR="00F81AE6">
        <w:rPr>
          <w:lang w:val="nb-NO"/>
        </w:rPr>
        <w:t xml:space="preserve">viser </w:t>
      </w:r>
      <w:r w:rsidR="00B5392C">
        <w:rPr>
          <w:lang w:val="nb-NO"/>
        </w:rPr>
        <w:t xml:space="preserve">bare </w:t>
      </w:r>
      <w:r w:rsidR="00F81AE6">
        <w:rPr>
          <w:lang w:val="nb-NO"/>
        </w:rPr>
        <w:t>til at dommen</w:t>
      </w:r>
      <w:r w:rsidR="00B5392C">
        <w:rPr>
          <w:lang w:val="nb-NO"/>
        </w:rPr>
        <w:t>e</w:t>
      </w:r>
      <w:r>
        <w:rPr>
          <w:lang w:val="nb-NO"/>
        </w:rPr>
        <w:t xml:space="preserve"> er behandlet av Hellum i </w:t>
      </w:r>
      <w:r w:rsidRPr="00C66113">
        <w:rPr>
          <w:lang w:val="nb-NO"/>
        </w:rPr>
        <w:t xml:space="preserve">Anne Hellum og Anniken Sørlie (red.), </w:t>
      </w:r>
      <w:r w:rsidRPr="00C66113">
        <w:rPr>
          <w:i/>
          <w:lang w:val="nb-NO"/>
        </w:rPr>
        <w:t>Frihet, likhet og mangfold</w:t>
      </w:r>
      <w:r w:rsidR="00D15CB7">
        <w:rPr>
          <w:lang w:val="nb-NO"/>
        </w:rPr>
        <w:t>, Oslo 2021.</w:t>
      </w:r>
      <w:r w:rsidR="006C55F7">
        <w:rPr>
          <w:lang w:val="nb-NO"/>
        </w:rPr>
        <w:t xml:space="preserve"> Der står det i kapittel </w:t>
      </w:r>
      <w:r w:rsidR="009026D5">
        <w:rPr>
          <w:lang w:val="nb-NO"/>
        </w:rPr>
        <w:t>10 punkt 5.3.3</w:t>
      </w:r>
      <w:r w:rsidR="006C55F7">
        <w:rPr>
          <w:lang w:val="nb-NO"/>
        </w:rPr>
        <w:t>.</w:t>
      </w:r>
      <w:r w:rsidR="009026D5">
        <w:rPr>
          <w:lang w:val="nb-NO"/>
        </w:rPr>
        <w:t xml:space="preserve"> </w:t>
      </w:r>
      <w:r w:rsidR="006C55F7">
        <w:rPr>
          <w:lang w:val="nb-NO"/>
        </w:rPr>
        <w:t xml:space="preserve"> </w:t>
      </w:r>
    </w:p>
  </w:footnote>
  <w:footnote w:id="12">
    <w:p w14:paraId="2F92D862" w14:textId="77777777" w:rsidR="0057711A" w:rsidRPr="0057711A" w:rsidRDefault="0057711A">
      <w:pPr>
        <w:pStyle w:val="Fotnotetekst"/>
        <w:rPr>
          <w:lang w:val="nb-NO"/>
        </w:rPr>
      </w:pPr>
      <w:r>
        <w:rPr>
          <w:rStyle w:val="Fotnotereferanse"/>
        </w:rPr>
        <w:footnoteRef/>
      </w:r>
      <w:r w:rsidRPr="0057711A">
        <w:rPr>
          <w:lang w:val="nb-NO"/>
        </w:rPr>
        <w:t xml:space="preserve"> </w:t>
      </w:r>
      <w:r>
        <w:rPr>
          <w:lang w:val="nb-NO"/>
        </w:rPr>
        <w:t>Hellum i Hellum og</w:t>
      </w:r>
      <w:r w:rsidRPr="00C66113">
        <w:rPr>
          <w:lang w:val="nb-NO"/>
        </w:rPr>
        <w:t xml:space="preserve"> Sørlie (red.),</w:t>
      </w:r>
      <w:r>
        <w:rPr>
          <w:lang w:val="nb-NO"/>
        </w:rPr>
        <w:t xml:space="preserve"> 2021, side 331. </w:t>
      </w:r>
    </w:p>
  </w:footnote>
  <w:footnote w:id="13">
    <w:p w14:paraId="2F83F827" w14:textId="3AD0837D" w:rsidR="000D4E94" w:rsidRPr="000D4E94" w:rsidRDefault="000D4E94">
      <w:pPr>
        <w:pStyle w:val="Fotnotetekst"/>
        <w:rPr>
          <w:lang w:val="nb-NO"/>
        </w:rPr>
      </w:pPr>
      <w:r>
        <w:rPr>
          <w:rStyle w:val="Fotnotereferanse"/>
        </w:rPr>
        <w:footnoteRef/>
      </w:r>
      <w:r w:rsidRPr="00674D04">
        <w:rPr>
          <w:lang w:val="nb-NO"/>
        </w:rPr>
        <w:t xml:space="preserve"> </w:t>
      </w:r>
      <w:r>
        <w:rPr>
          <w:lang w:val="nb-NO"/>
        </w:rPr>
        <w:t xml:space="preserve">Den nevnes </w:t>
      </w:r>
      <w:r w:rsidR="000F36D7">
        <w:rPr>
          <w:lang w:val="nb-NO"/>
        </w:rPr>
        <w:t xml:space="preserve">på </w:t>
      </w:r>
      <w:r w:rsidR="00674D04">
        <w:rPr>
          <w:lang w:val="nb-NO"/>
        </w:rPr>
        <w:t xml:space="preserve">side 646, men det at forvaltningsloven gjelder, får altså ingen konsekvenser for fremstillingen. </w:t>
      </w:r>
    </w:p>
  </w:footnote>
  <w:footnote w:id="14">
    <w:p w14:paraId="74D3ADC2" w14:textId="62862343" w:rsidR="00DD7AAB" w:rsidRPr="00DD7AAB" w:rsidRDefault="00DD7AAB">
      <w:pPr>
        <w:pStyle w:val="Fotnotetekst"/>
        <w:rPr>
          <w:lang w:val="nb-NO"/>
        </w:rPr>
      </w:pPr>
      <w:r>
        <w:rPr>
          <w:rStyle w:val="Fotnotereferanse"/>
        </w:rPr>
        <w:footnoteRef/>
      </w:r>
      <w:r w:rsidRPr="002F5899">
        <w:rPr>
          <w:lang w:val="nb-NO"/>
        </w:rPr>
        <w:t xml:space="preserve"> </w:t>
      </w:r>
      <w:r w:rsidR="002E23B3" w:rsidRPr="00385476">
        <w:rPr>
          <w:lang w:val="nb-NO"/>
        </w:rPr>
        <w:t xml:space="preserve">Prop. 81 L (2016–2017) </w:t>
      </w:r>
      <w:r w:rsidR="002E23B3">
        <w:rPr>
          <w:lang w:val="nb-NO"/>
        </w:rPr>
        <w:t>side 293 jfr 295. Nærmere i</w:t>
      </w:r>
      <w:r>
        <w:rPr>
          <w:lang w:val="nb-NO"/>
        </w:rPr>
        <w:t xml:space="preserve"> Anne Robberstad</w:t>
      </w:r>
      <w:r w:rsidR="004A134A">
        <w:rPr>
          <w:lang w:val="nb-NO"/>
        </w:rPr>
        <w:t>,</w:t>
      </w:r>
      <w:r>
        <w:rPr>
          <w:lang w:val="nb-NO"/>
        </w:rPr>
        <w:t xml:space="preserve"> </w:t>
      </w:r>
      <w:r w:rsidRPr="00DD7AAB">
        <w:rPr>
          <w:i/>
          <w:lang w:val="nb-NO"/>
        </w:rPr>
        <w:t xml:space="preserve">Hvem har </w:t>
      </w:r>
      <w:proofErr w:type="gramStart"/>
      <w:r w:rsidRPr="00DD7AAB">
        <w:rPr>
          <w:i/>
          <w:lang w:val="nb-NO"/>
        </w:rPr>
        <w:t>bevisbyrden?</w:t>
      </w:r>
      <w:r w:rsidR="008D11BC">
        <w:rPr>
          <w:lang w:val="nb-NO"/>
        </w:rPr>
        <w:t>,</w:t>
      </w:r>
      <w:proofErr w:type="gramEnd"/>
      <w:r w:rsidR="008D11BC">
        <w:rPr>
          <w:lang w:val="nb-NO"/>
        </w:rPr>
        <w:t xml:space="preserve"> Oslo </w:t>
      </w:r>
      <w:r>
        <w:rPr>
          <w:lang w:val="nb-NO"/>
        </w:rPr>
        <w:t>2021</w:t>
      </w:r>
      <w:r w:rsidR="008D11BC">
        <w:rPr>
          <w:lang w:val="nb-NO"/>
        </w:rPr>
        <w:t>,</w:t>
      </w:r>
      <w:r>
        <w:rPr>
          <w:lang w:val="nb-NO"/>
        </w:rPr>
        <w:t xml:space="preserve"> side 77</w:t>
      </w:r>
      <w:r w:rsidR="004A134A">
        <w:rPr>
          <w:lang w:val="nb-NO"/>
        </w:rPr>
        <w:t>–</w:t>
      </w:r>
      <w:r w:rsidR="002E23B3">
        <w:rPr>
          <w:lang w:val="nb-NO"/>
        </w:rPr>
        <w:t>86</w:t>
      </w:r>
      <w:r>
        <w:rPr>
          <w:lang w:val="nb-NO"/>
        </w:rPr>
        <w:t xml:space="preserve"> med videre henvisninger. </w:t>
      </w:r>
    </w:p>
  </w:footnote>
  <w:footnote w:id="15">
    <w:p w14:paraId="77BDD127" w14:textId="2B913850" w:rsidR="00FD2CCC" w:rsidRPr="00FD2CCC" w:rsidRDefault="00FD2CCC">
      <w:pPr>
        <w:pStyle w:val="Fotnotetekst"/>
        <w:rPr>
          <w:lang w:val="nb-NO"/>
        </w:rPr>
      </w:pPr>
      <w:r>
        <w:rPr>
          <w:rStyle w:val="Fotnotereferanse"/>
        </w:rPr>
        <w:footnoteRef/>
      </w:r>
      <w:r w:rsidRPr="002F5899">
        <w:rPr>
          <w:lang w:val="nb-NO"/>
        </w:rPr>
        <w:t xml:space="preserve"> </w:t>
      </w:r>
      <w:r>
        <w:rPr>
          <w:lang w:val="nb-NO"/>
        </w:rPr>
        <w:t>Ballangrud og Søbstad</w:t>
      </w:r>
      <w:r w:rsidR="00446177">
        <w:rPr>
          <w:lang w:val="nb-NO"/>
        </w:rPr>
        <w:t>,</w:t>
      </w:r>
      <w:r>
        <w:rPr>
          <w:lang w:val="nb-NO"/>
        </w:rPr>
        <w:t xml:space="preserve"> side 617</w:t>
      </w:r>
      <w:r w:rsidR="004A134A">
        <w:rPr>
          <w:lang w:val="nb-NO"/>
        </w:rPr>
        <w:t>–</w:t>
      </w:r>
      <w:r>
        <w:rPr>
          <w:lang w:val="nb-NO"/>
        </w:rPr>
        <w:t xml:space="preserve">624, særlig 617 og 620. </w:t>
      </w:r>
    </w:p>
  </w:footnote>
  <w:footnote w:id="16">
    <w:p w14:paraId="480DB1BD" w14:textId="4D4CD4E0" w:rsidR="000A3C46" w:rsidRPr="00200201" w:rsidRDefault="000A3C46" w:rsidP="000A3C46">
      <w:pPr>
        <w:pStyle w:val="Fotnotetekst"/>
        <w:rPr>
          <w:lang w:val="nb-NO"/>
        </w:rPr>
      </w:pPr>
      <w:r>
        <w:rPr>
          <w:rStyle w:val="Fotnotereferanse"/>
        </w:rPr>
        <w:footnoteRef/>
      </w:r>
      <w:r w:rsidRPr="00192B5E">
        <w:rPr>
          <w:lang w:val="nb-NO"/>
        </w:rPr>
        <w:t xml:space="preserve"> </w:t>
      </w:r>
      <w:r>
        <w:rPr>
          <w:lang w:val="nb-NO"/>
        </w:rPr>
        <w:t>Hellum og Strand, s</w:t>
      </w:r>
      <w:r w:rsidR="006C55F7">
        <w:rPr>
          <w:lang w:val="nb-NO"/>
        </w:rPr>
        <w:t>ide</w:t>
      </w:r>
      <w:r>
        <w:rPr>
          <w:lang w:val="nb-NO"/>
        </w:rPr>
        <w:t xml:space="preserve"> 374</w:t>
      </w:r>
      <w:r w:rsidR="004A134A">
        <w:rPr>
          <w:lang w:val="nb-NO"/>
        </w:rPr>
        <w:t>–</w:t>
      </w:r>
      <w:r>
        <w:rPr>
          <w:lang w:val="nb-NO"/>
        </w:rPr>
        <w:t>376.</w:t>
      </w:r>
    </w:p>
  </w:footnote>
  <w:footnote w:id="17">
    <w:p w14:paraId="50688124" w14:textId="751C535E" w:rsidR="00F824F7" w:rsidRPr="00F824F7" w:rsidRDefault="00F824F7">
      <w:pPr>
        <w:pStyle w:val="Fotnotetekst"/>
        <w:rPr>
          <w:lang w:val="nb-NO"/>
        </w:rPr>
      </w:pPr>
      <w:r>
        <w:rPr>
          <w:rStyle w:val="Fotnotereferanse"/>
        </w:rPr>
        <w:footnoteRef/>
      </w:r>
      <w:r w:rsidRPr="00A80485">
        <w:rPr>
          <w:lang w:val="nb-NO"/>
        </w:rPr>
        <w:t xml:space="preserve"> </w:t>
      </w:r>
      <w:r>
        <w:rPr>
          <w:lang w:val="nb-NO"/>
        </w:rPr>
        <w:t>Hellum og Strand, s</w:t>
      </w:r>
      <w:r w:rsidR="006C55F7">
        <w:rPr>
          <w:lang w:val="nb-NO"/>
        </w:rPr>
        <w:t>ide</w:t>
      </w:r>
      <w:r>
        <w:rPr>
          <w:lang w:val="nb-NO"/>
        </w:rPr>
        <w:t xml:space="preserve"> 363, </w:t>
      </w:r>
      <w:r w:rsidR="00D313BF">
        <w:rPr>
          <w:lang w:val="nb-NO"/>
        </w:rPr>
        <w:t>373 og</w:t>
      </w:r>
      <w:r>
        <w:rPr>
          <w:lang w:val="nb-NO"/>
        </w:rPr>
        <w:t xml:space="preserve"> 375</w:t>
      </w:r>
      <w:r w:rsidR="00D313BF">
        <w:rPr>
          <w:lang w:val="nb-NO"/>
        </w:rPr>
        <w:t xml:space="preserve">. </w:t>
      </w:r>
    </w:p>
  </w:footnote>
  <w:footnote w:id="18">
    <w:p w14:paraId="542F27FB" w14:textId="28EB09D1" w:rsidR="00511C90" w:rsidRPr="008C6E43" w:rsidRDefault="00511C90" w:rsidP="00602BFB">
      <w:pPr>
        <w:rPr>
          <w:sz w:val="20"/>
          <w:szCs w:val="20"/>
          <w:lang w:val="nb-NO"/>
        </w:rPr>
      </w:pPr>
      <w:r w:rsidRPr="00602BFB">
        <w:rPr>
          <w:rStyle w:val="Fotnotereferanse"/>
          <w:sz w:val="20"/>
          <w:szCs w:val="20"/>
        </w:rPr>
        <w:footnoteRef/>
      </w:r>
      <w:r w:rsidRPr="00602BFB">
        <w:rPr>
          <w:sz w:val="20"/>
          <w:szCs w:val="20"/>
          <w:lang w:val="nb-NO"/>
        </w:rPr>
        <w:t xml:space="preserve"> Magne Strandberg, </w:t>
      </w:r>
      <w:r w:rsidR="00602BFB" w:rsidRPr="00602BFB">
        <w:rPr>
          <w:sz w:val="20"/>
          <w:szCs w:val="20"/>
          <w:lang w:val="nb-NO"/>
        </w:rPr>
        <w:t xml:space="preserve">«Beviskrav og bevisbyrde etter likestillings- og diskrimineringsloven § 37», </w:t>
      </w:r>
      <w:r w:rsidR="00602BFB" w:rsidRPr="00602BFB">
        <w:rPr>
          <w:i/>
          <w:sz w:val="20"/>
          <w:szCs w:val="20"/>
          <w:lang w:val="nb-NO"/>
        </w:rPr>
        <w:t>Lov og Rett</w:t>
      </w:r>
      <w:r w:rsidR="004A134A">
        <w:rPr>
          <w:sz w:val="20"/>
          <w:szCs w:val="20"/>
          <w:lang w:val="nb-NO"/>
        </w:rPr>
        <w:t>, 2022, side 510</w:t>
      </w:r>
      <w:r w:rsidR="004A134A">
        <w:rPr>
          <w:lang w:val="nb-NO"/>
        </w:rPr>
        <w:t>–</w:t>
      </w:r>
      <w:r w:rsidR="00602BFB" w:rsidRPr="00602BFB">
        <w:rPr>
          <w:sz w:val="20"/>
          <w:szCs w:val="20"/>
          <w:lang w:val="nb-NO"/>
        </w:rPr>
        <w:t>529, om dette side</w:t>
      </w:r>
      <w:r w:rsidR="00D17EBE">
        <w:rPr>
          <w:sz w:val="20"/>
          <w:szCs w:val="20"/>
          <w:lang w:val="nb-NO"/>
        </w:rPr>
        <w:t xml:space="preserve"> 521</w:t>
      </w:r>
      <w:r w:rsidR="004A134A">
        <w:rPr>
          <w:lang w:val="nb-NO"/>
        </w:rPr>
        <w:t>–</w:t>
      </w:r>
      <w:r w:rsidR="00602BFB" w:rsidRPr="00602BFB">
        <w:rPr>
          <w:sz w:val="20"/>
          <w:szCs w:val="20"/>
          <w:lang w:val="nb-NO"/>
        </w:rPr>
        <w:t xml:space="preserve">526. DOI: </w:t>
      </w:r>
      <w:hyperlink r:id="rId2" w:history="1">
        <w:r w:rsidR="00602BFB" w:rsidRPr="008C6E43">
          <w:rPr>
            <w:rStyle w:val="Hyperkobling"/>
            <w:rFonts w:eastAsiaTheme="majorEastAsia"/>
            <w:color w:val="757575"/>
            <w:sz w:val="20"/>
            <w:szCs w:val="20"/>
            <w:shd w:val="clear" w:color="auto" w:fill="FFFFFF"/>
            <w:lang w:val="nb-NO"/>
          </w:rPr>
          <w:t>https://doi.org/10.18261/lor.61.8.4</w:t>
        </w:r>
      </w:hyperlink>
      <w:r w:rsidR="00602BFB" w:rsidRPr="008C6E43">
        <w:rPr>
          <w:sz w:val="20"/>
          <w:szCs w:val="20"/>
          <w:lang w:val="nb-N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9242579"/>
      <w:docPartObj>
        <w:docPartGallery w:val="Page Numbers (Top of Page)"/>
        <w:docPartUnique/>
      </w:docPartObj>
    </w:sdtPr>
    <w:sdtEndPr/>
    <w:sdtContent>
      <w:p w14:paraId="5DBD1038" w14:textId="1F081AD7" w:rsidR="00E83846" w:rsidRDefault="008B2009" w:rsidP="00E83846">
        <w:pPr>
          <w:pStyle w:val="Topptekst"/>
        </w:pPr>
        <w:r w:rsidRPr="008B2009">
          <w:rPr>
            <w:lang w:val="nb-NO"/>
          </w:rPr>
          <w:t xml:space="preserve">  </w:t>
        </w:r>
        <w:r w:rsidR="00A7186F">
          <w:rPr>
            <w:lang w:val="nb-NO"/>
          </w:rPr>
          <w:t>Diskrimineringsrettens plass</w:t>
        </w:r>
        <w:r w:rsidR="00A7186F">
          <w:rPr>
            <w:lang w:val="nb-NO"/>
          </w:rPr>
          <w:tab/>
        </w:r>
        <w:r w:rsidR="00A7186F">
          <w:rPr>
            <w:lang w:val="nb-NO"/>
          </w:rPr>
          <w:tab/>
        </w:r>
        <w:r w:rsidR="00E83846">
          <w:fldChar w:fldCharType="begin"/>
        </w:r>
        <w:r w:rsidR="00E83846">
          <w:instrText>PAGE   \* MERGEFORMAT</w:instrText>
        </w:r>
        <w:r w:rsidR="00E83846">
          <w:fldChar w:fldCharType="separate"/>
        </w:r>
        <w:r w:rsidR="0087273D" w:rsidRPr="0087273D">
          <w:rPr>
            <w:noProof/>
            <w:lang w:val="nb-NO"/>
          </w:rPr>
          <w:t>6</w:t>
        </w:r>
        <w:r w:rsidR="00E83846">
          <w:fldChar w:fldCharType="end"/>
        </w:r>
      </w:p>
    </w:sdtContent>
  </w:sdt>
  <w:p w14:paraId="39241AD9" w14:textId="77777777" w:rsidR="00562BD2" w:rsidRDefault="00562BD2">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b-NO" w:vendorID="64" w:dllVersion="131078" w:nlCheck="1" w:checkStyle="0"/>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6C9"/>
    <w:rsid w:val="000006BD"/>
    <w:rsid w:val="000009E6"/>
    <w:rsid w:val="00005DF9"/>
    <w:rsid w:val="00007B02"/>
    <w:rsid w:val="00010567"/>
    <w:rsid w:val="0001154F"/>
    <w:rsid w:val="000221D8"/>
    <w:rsid w:val="000236D6"/>
    <w:rsid w:val="00025654"/>
    <w:rsid w:val="000261D9"/>
    <w:rsid w:val="00027219"/>
    <w:rsid w:val="00030207"/>
    <w:rsid w:val="00030B5B"/>
    <w:rsid w:val="0003140E"/>
    <w:rsid w:val="00031760"/>
    <w:rsid w:val="00032199"/>
    <w:rsid w:val="000354BF"/>
    <w:rsid w:val="000364B1"/>
    <w:rsid w:val="00040200"/>
    <w:rsid w:val="0004419F"/>
    <w:rsid w:val="000466A8"/>
    <w:rsid w:val="000469E7"/>
    <w:rsid w:val="00047880"/>
    <w:rsid w:val="00047ED7"/>
    <w:rsid w:val="00051FE0"/>
    <w:rsid w:val="000546A5"/>
    <w:rsid w:val="000622A9"/>
    <w:rsid w:val="00063B3D"/>
    <w:rsid w:val="00064680"/>
    <w:rsid w:val="00065846"/>
    <w:rsid w:val="0006619C"/>
    <w:rsid w:val="00070591"/>
    <w:rsid w:val="000728C4"/>
    <w:rsid w:val="0007356B"/>
    <w:rsid w:val="000748D2"/>
    <w:rsid w:val="0007586E"/>
    <w:rsid w:val="00075F4B"/>
    <w:rsid w:val="00081840"/>
    <w:rsid w:val="00083519"/>
    <w:rsid w:val="0008372F"/>
    <w:rsid w:val="000944A5"/>
    <w:rsid w:val="00096634"/>
    <w:rsid w:val="00097B4D"/>
    <w:rsid w:val="000A16EE"/>
    <w:rsid w:val="000A3C46"/>
    <w:rsid w:val="000A516C"/>
    <w:rsid w:val="000A7144"/>
    <w:rsid w:val="000B69F4"/>
    <w:rsid w:val="000C08C6"/>
    <w:rsid w:val="000C2A30"/>
    <w:rsid w:val="000C4B67"/>
    <w:rsid w:val="000D016A"/>
    <w:rsid w:val="000D110B"/>
    <w:rsid w:val="000D4E8F"/>
    <w:rsid w:val="000D4E94"/>
    <w:rsid w:val="000E2B09"/>
    <w:rsid w:val="000E32DC"/>
    <w:rsid w:val="000E3563"/>
    <w:rsid w:val="000E5A75"/>
    <w:rsid w:val="000F125E"/>
    <w:rsid w:val="000F15FC"/>
    <w:rsid w:val="000F1841"/>
    <w:rsid w:val="000F329C"/>
    <w:rsid w:val="000F36D7"/>
    <w:rsid w:val="000F5474"/>
    <w:rsid w:val="000F6350"/>
    <w:rsid w:val="000F686E"/>
    <w:rsid w:val="00100F6A"/>
    <w:rsid w:val="0010312B"/>
    <w:rsid w:val="00107333"/>
    <w:rsid w:val="00110955"/>
    <w:rsid w:val="00111D68"/>
    <w:rsid w:val="00116CA4"/>
    <w:rsid w:val="00122AA1"/>
    <w:rsid w:val="00123B6A"/>
    <w:rsid w:val="00123FB8"/>
    <w:rsid w:val="00126157"/>
    <w:rsid w:val="00126E6C"/>
    <w:rsid w:val="001317ED"/>
    <w:rsid w:val="00132943"/>
    <w:rsid w:val="001353C9"/>
    <w:rsid w:val="001423EE"/>
    <w:rsid w:val="00143E8A"/>
    <w:rsid w:val="0015003A"/>
    <w:rsid w:val="00155134"/>
    <w:rsid w:val="00160F13"/>
    <w:rsid w:val="00160F43"/>
    <w:rsid w:val="00163ACB"/>
    <w:rsid w:val="00163D89"/>
    <w:rsid w:val="0016575B"/>
    <w:rsid w:val="00165CF6"/>
    <w:rsid w:val="001667B6"/>
    <w:rsid w:val="0017331F"/>
    <w:rsid w:val="00175A9D"/>
    <w:rsid w:val="001773D7"/>
    <w:rsid w:val="00181E97"/>
    <w:rsid w:val="00182E1E"/>
    <w:rsid w:val="0018383A"/>
    <w:rsid w:val="00183FC1"/>
    <w:rsid w:val="001843CC"/>
    <w:rsid w:val="00184E23"/>
    <w:rsid w:val="001872C3"/>
    <w:rsid w:val="001917DB"/>
    <w:rsid w:val="00192B5E"/>
    <w:rsid w:val="00196F5C"/>
    <w:rsid w:val="001978DF"/>
    <w:rsid w:val="001A758C"/>
    <w:rsid w:val="001A7F53"/>
    <w:rsid w:val="001B21F8"/>
    <w:rsid w:val="001B3873"/>
    <w:rsid w:val="001C1E76"/>
    <w:rsid w:val="001C2644"/>
    <w:rsid w:val="001C2FF8"/>
    <w:rsid w:val="001C39F2"/>
    <w:rsid w:val="001C6200"/>
    <w:rsid w:val="001D0BC2"/>
    <w:rsid w:val="001D327E"/>
    <w:rsid w:val="001D42FA"/>
    <w:rsid w:val="001D5B29"/>
    <w:rsid w:val="001E1812"/>
    <w:rsid w:val="001E1AF4"/>
    <w:rsid w:val="001E6C82"/>
    <w:rsid w:val="001E7DBF"/>
    <w:rsid w:val="001F4F87"/>
    <w:rsid w:val="00200201"/>
    <w:rsid w:val="00200DB8"/>
    <w:rsid w:val="002013D4"/>
    <w:rsid w:val="00202A16"/>
    <w:rsid w:val="002059D6"/>
    <w:rsid w:val="0020746D"/>
    <w:rsid w:val="00216EA1"/>
    <w:rsid w:val="0023002A"/>
    <w:rsid w:val="0023535C"/>
    <w:rsid w:val="00236537"/>
    <w:rsid w:val="0024217C"/>
    <w:rsid w:val="0026083A"/>
    <w:rsid w:val="002668CB"/>
    <w:rsid w:val="00267F16"/>
    <w:rsid w:val="00277C8B"/>
    <w:rsid w:val="00280E91"/>
    <w:rsid w:val="00286540"/>
    <w:rsid w:val="00287216"/>
    <w:rsid w:val="00287A89"/>
    <w:rsid w:val="002975CB"/>
    <w:rsid w:val="002A14A5"/>
    <w:rsid w:val="002A22B9"/>
    <w:rsid w:val="002A2957"/>
    <w:rsid w:val="002A50D8"/>
    <w:rsid w:val="002A610A"/>
    <w:rsid w:val="002B03B3"/>
    <w:rsid w:val="002B2097"/>
    <w:rsid w:val="002C0D76"/>
    <w:rsid w:val="002C7C9C"/>
    <w:rsid w:val="002D0FDE"/>
    <w:rsid w:val="002D7082"/>
    <w:rsid w:val="002D7129"/>
    <w:rsid w:val="002E05DD"/>
    <w:rsid w:val="002E0682"/>
    <w:rsid w:val="002E23B3"/>
    <w:rsid w:val="002E2AC6"/>
    <w:rsid w:val="002F0C51"/>
    <w:rsid w:val="002F363F"/>
    <w:rsid w:val="002F3E00"/>
    <w:rsid w:val="002F4EA4"/>
    <w:rsid w:val="002F5899"/>
    <w:rsid w:val="002F5D4F"/>
    <w:rsid w:val="003036FE"/>
    <w:rsid w:val="003055FE"/>
    <w:rsid w:val="0030680E"/>
    <w:rsid w:val="003073BA"/>
    <w:rsid w:val="00310DA4"/>
    <w:rsid w:val="003119FA"/>
    <w:rsid w:val="003209AB"/>
    <w:rsid w:val="00323B00"/>
    <w:rsid w:val="00324FAC"/>
    <w:rsid w:val="00331EC6"/>
    <w:rsid w:val="00332161"/>
    <w:rsid w:val="00332DE6"/>
    <w:rsid w:val="00333E51"/>
    <w:rsid w:val="00334E7E"/>
    <w:rsid w:val="003356B2"/>
    <w:rsid w:val="00341B1D"/>
    <w:rsid w:val="0034277B"/>
    <w:rsid w:val="003452FD"/>
    <w:rsid w:val="00350893"/>
    <w:rsid w:val="00355C48"/>
    <w:rsid w:val="00361B27"/>
    <w:rsid w:val="003653CD"/>
    <w:rsid w:val="00372258"/>
    <w:rsid w:val="00372643"/>
    <w:rsid w:val="003726B4"/>
    <w:rsid w:val="00375398"/>
    <w:rsid w:val="00375A11"/>
    <w:rsid w:val="00376089"/>
    <w:rsid w:val="00384571"/>
    <w:rsid w:val="00385163"/>
    <w:rsid w:val="00385476"/>
    <w:rsid w:val="00391971"/>
    <w:rsid w:val="0039362C"/>
    <w:rsid w:val="00393FD9"/>
    <w:rsid w:val="00394CBD"/>
    <w:rsid w:val="00395564"/>
    <w:rsid w:val="003956E3"/>
    <w:rsid w:val="0039614F"/>
    <w:rsid w:val="00397889"/>
    <w:rsid w:val="003A1568"/>
    <w:rsid w:val="003A1703"/>
    <w:rsid w:val="003A1C7B"/>
    <w:rsid w:val="003A1FF1"/>
    <w:rsid w:val="003A3725"/>
    <w:rsid w:val="003A42C0"/>
    <w:rsid w:val="003B029D"/>
    <w:rsid w:val="003B1FE1"/>
    <w:rsid w:val="003B47D9"/>
    <w:rsid w:val="003C0EA5"/>
    <w:rsid w:val="003C18F2"/>
    <w:rsid w:val="003C1C2E"/>
    <w:rsid w:val="003C1C50"/>
    <w:rsid w:val="003C1EDA"/>
    <w:rsid w:val="003C3E2B"/>
    <w:rsid w:val="003C6000"/>
    <w:rsid w:val="003C7733"/>
    <w:rsid w:val="003D1D5F"/>
    <w:rsid w:val="003D2317"/>
    <w:rsid w:val="003D3315"/>
    <w:rsid w:val="003D3B8B"/>
    <w:rsid w:val="003D48AC"/>
    <w:rsid w:val="003D613F"/>
    <w:rsid w:val="003D6583"/>
    <w:rsid w:val="003E06A4"/>
    <w:rsid w:val="003E0ACA"/>
    <w:rsid w:val="003E1E29"/>
    <w:rsid w:val="003E1E37"/>
    <w:rsid w:val="003E6DE4"/>
    <w:rsid w:val="003E7AFE"/>
    <w:rsid w:val="003F1172"/>
    <w:rsid w:val="003F11A7"/>
    <w:rsid w:val="003F528E"/>
    <w:rsid w:val="003F7609"/>
    <w:rsid w:val="00403145"/>
    <w:rsid w:val="004042B2"/>
    <w:rsid w:val="00406562"/>
    <w:rsid w:val="00406B3E"/>
    <w:rsid w:val="00413317"/>
    <w:rsid w:val="00421245"/>
    <w:rsid w:val="00421C2A"/>
    <w:rsid w:val="0042445F"/>
    <w:rsid w:val="00425816"/>
    <w:rsid w:val="00427809"/>
    <w:rsid w:val="00431F51"/>
    <w:rsid w:val="0043666A"/>
    <w:rsid w:val="00440EAC"/>
    <w:rsid w:val="00442A9A"/>
    <w:rsid w:val="00443E29"/>
    <w:rsid w:val="00446177"/>
    <w:rsid w:val="00452549"/>
    <w:rsid w:val="00456609"/>
    <w:rsid w:val="00457505"/>
    <w:rsid w:val="00457DDB"/>
    <w:rsid w:val="00462E1D"/>
    <w:rsid w:val="004646DC"/>
    <w:rsid w:val="00464C11"/>
    <w:rsid w:val="00467192"/>
    <w:rsid w:val="00470F2E"/>
    <w:rsid w:val="00474669"/>
    <w:rsid w:val="004752DF"/>
    <w:rsid w:val="004808C9"/>
    <w:rsid w:val="00481738"/>
    <w:rsid w:val="00485E04"/>
    <w:rsid w:val="00490059"/>
    <w:rsid w:val="004927F3"/>
    <w:rsid w:val="004934AD"/>
    <w:rsid w:val="00494953"/>
    <w:rsid w:val="00494CD8"/>
    <w:rsid w:val="00494FA4"/>
    <w:rsid w:val="00496DAC"/>
    <w:rsid w:val="004A134A"/>
    <w:rsid w:val="004A335C"/>
    <w:rsid w:val="004A5B6B"/>
    <w:rsid w:val="004B172F"/>
    <w:rsid w:val="004B247B"/>
    <w:rsid w:val="004B541D"/>
    <w:rsid w:val="004B6D58"/>
    <w:rsid w:val="004C1271"/>
    <w:rsid w:val="004C33A9"/>
    <w:rsid w:val="004C37BB"/>
    <w:rsid w:val="004C630F"/>
    <w:rsid w:val="004C6936"/>
    <w:rsid w:val="004C7B78"/>
    <w:rsid w:val="004D1130"/>
    <w:rsid w:val="004D2E65"/>
    <w:rsid w:val="004D3ADC"/>
    <w:rsid w:val="004D57BE"/>
    <w:rsid w:val="004D6860"/>
    <w:rsid w:val="004D69E3"/>
    <w:rsid w:val="004D6E3A"/>
    <w:rsid w:val="004D7903"/>
    <w:rsid w:val="004E19D2"/>
    <w:rsid w:val="004E21B9"/>
    <w:rsid w:val="004E35A9"/>
    <w:rsid w:val="004E47E2"/>
    <w:rsid w:val="004F0EF2"/>
    <w:rsid w:val="004F1552"/>
    <w:rsid w:val="004F6048"/>
    <w:rsid w:val="00503AAE"/>
    <w:rsid w:val="00504E15"/>
    <w:rsid w:val="00511C90"/>
    <w:rsid w:val="00514E7B"/>
    <w:rsid w:val="00515118"/>
    <w:rsid w:val="00516077"/>
    <w:rsid w:val="00522DA6"/>
    <w:rsid w:val="005342CA"/>
    <w:rsid w:val="005352EA"/>
    <w:rsid w:val="00543970"/>
    <w:rsid w:val="0055163B"/>
    <w:rsid w:val="005547EB"/>
    <w:rsid w:val="00556EF2"/>
    <w:rsid w:val="0056046B"/>
    <w:rsid w:val="005608E4"/>
    <w:rsid w:val="00561576"/>
    <w:rsid w:val="00562BD2"/>
    <w:rsid w:val="005648DC"/>
    <w:rsid w:val="00564DE2"/>
    <w:rsid w:val="00564F30"/>
    <w:rsid w:val="00570CE3"/>
    <w:rsid w:val="0057464C"/>
    <w:rsid w:val="005754B7"/>
    <w:rsid w:val="005768F6"/>
    <w:rsid w:val="0057711A"/>
    <w:rsid w:val="00577807"/>
    <w:rsid w:val="005828E4"/>
    <w:rsid w:val="005835AC"/>
    <w:rsid w:val="00587BA1"/>
    <w:rsid w:val="00590313"/>
    <w:rsid w:val="00592DE6"/>
    <w:rsid w:val="00597737"/>
    <w:rsid w:val="005A3D5F"/>
    <w:rsid w:val="005A60C8"/>
    <w:rsid w:val="005A6749"/>
    <w:rsid w:val="005A6769"/>
    <w:rsid w:val="005B227B"/>
    <w:rsid w:val="005B5F77"/>
    <w:rsid w:val="005B6F94"/>
    <w:rsid w:val="005C0540"/>
    <w:rsid w:val="005C0B31"/>
    <w:rsid w:val="005C2326"/>
    <w:rsid w:val="005C300E"/>
    <w:rsid w:val="005C50A6"/>
    <w:rsid w:val="005C52D1"/>
    <w:rsid w:val="005C5356"/>
    <w:rsid w:val="005D0101"/>
    <w:rsid w:val="005D66B6"/>
    <w:rsid w:val="005E01A1"/>
    <w:rsid w:val="005E47CC"/>
    <w:rsid w:val="005E489F"/>
    <w:rsid w:val="005F0F55"/>
    <w:rsid w:val="005F4006"/>
    <w:rsid w:val="006011C8"/>
    <w:rsid w:val="006027BE"/>
    <w:rsid w:val="00602BFB"/>
    <w:rsid w:val="0060350D"/>
    <w:rsid w:val="0060362F"/>
    <w:rsid w:val="00604D20"/>
    <w:rsid w:val="00621317"/>
    <w:rsid w:val="006224C5"/>
    <w:rsid w:val="006244CD"/>
    <w:rsid w:val="00624646"/>
    <w:rsid w:val="00624E57"/>
    <w:rsid w:val="006302D5"/>
    <w:rsid w:val="006459CB"/>
    <w:rsid w:val="00647D55"/>
    <w:rsid w:val="006501EB"/>
    <w:rsid w:val="00650396"/>
    <w:rsid w:val="00652ECB"/>
    <w:rsid w:val="00653CFD"/>
    <w:rsid w:val="00655D35"/>
    <w:rsid w:val="00656F29"/>
    <w:rsid w:val="00657B10"/>
    <w:rsid w:val="00667043"/>
    <w:rsid w:val="00670D40"/>
    <w:rsid w:val="00672155"/>
    <w:rsid w:val="0067351E"/>
    <w:rsid w:val="00674D04"/>
    <w:rsid w:val="00674FD5"/>
    <w:rsid w:val="0068152A"/>
    <w:rsid w:val="00681FE5"/>
    <w:rsid w:val="006831E8"/>
    <w:rsid w:val="0068528E"/>
    <w:rsid w:val="006937D5"/>
    <w:rsid w:val="0069670F"/>
    <w:rsid w:val="006967E0"/>
    <w:rsid w:val="006A6A00"/>
    <w:rsid w:val="006A7EEA"/>
    <w:rsid w:val="006B03C5"/>
    <w:rsid w:val="006B5C7E"/>
    <w:rsid w:val="006C015E"/>
    <w:rsid w:val="006C1AD1"/>
    <w:rsid w:val="006C30AB"/>
    <w:rsid w:val="006C3545"/>
    <w:rsid w:val="006C51C1"/>
    <w:rsid w:val="006C55F7"/>
    <w:rsid w:val="006D23D7"/>
    <w:rsid w:val="006D5969"/>
    <w:rsid w:val="006D756B"/>
    <w:rsid w:val="006E3ECD"/>
    <w:rsid w:val="006E40F8"/>
    <w:rsid w:val="006E4364"/>
    <w:rsid w:val="00701DA9"/>
    <w:rsid w:val="0070310A"/>
    <w:rsid w:val="00704378"/>
    <w:rsid w:val="00707F84"/>
    <w:rsid w:val="00710BAA"/>
    <w:rsid w:val="00713CEA"/>
    <w:rsid w:val="007161BE"/>
    <w:rsid w:val="00721644"/>
    <w:rsid w:val="0072497F"/>
    <w:rsid w:val="0073275C"/>
    <w:rsid w:val="0073374A"/>
    <w:rsid w:val="00733D47"/>
    <w:rsid w:val="00734C76"/>
    <w:rsid w:val="00736C57"/>
    <w:rsid w:val="00740CA0"/>
    <w:rsid w:val="00741069"/>
    <w:rsid w:val="00741BBC"/>
    <w:rsid w:val="00746583"/>
    <w:rsid w:val="00753136"/>
    <w:rsid w:val="00754374"/>
    <w:rsid w:val="00754B16"/>
    <w:rsid w:val="00754D60"/>
    <w:rsid w:val="007564F4"/>
    <w:rsid w:val="00760560"/>
    <w:rsid w:val="00760A61"/>
    <w:rsid w:val="00762DE6"/>
    <w:rsid w:val="0076624C"/>
    <w:rsid w:val="007678BB"/>
    <w:rsid w:val="00767E6B"/>
    <w:rsid w:val="0077338C"/>
    <w:rsid w:val="00773A7B"/>
    <w:rsid w:val="0077668D"/>
    <w:rsid w:val="0077722A"/>
    <w:rsid w:val="0077736E"/>
    <w:rsid w:val="00784325"/>
    <w:rsid w:val="00786628"/>
    <w:rsid w:val="00790876"/>
    <w:rsid w:val="007938FD"/>
    <w:rsid w:val="00795D08"/>
    <w:rsid w:val="00796F15"/>
    <w:rsid w:val="007A1183"/>
    <w:rsid w:val="007A1F59"/>
    <w:rsid w:val="007A3E0C"/>
    <w:rsid w:val="007A45E1"/>
    <w:rsid w:val="007A593A"/>
    <w:rsid w:val="007A5F3B"/>
    <w:rsid w:val="007A6A25"/>
    <w:rsid w:val="007B1A26"/>
    <w:rsid w:val="007B2DC2"/>
    <w:rsid w:val="007B5C11"/>
    <w:rsid w:val="007B5DE3"/>
    <w:rsid w:val="007C1DC0"/>
    <w:rsid w:val="007C22BD"/>
    <w:rsid w:val="007C4C7F"/>
    <w:rsid w:val="007C702D"/>
    <w:rsid w:val="007D1F52"/>
    <w:rsid w:val="007D26C1"/>
    <w:rsid w:val="007D3739"/>
    <w:rsid w:val="007D565D"/>
    <w:rsid w:val="007E03E3"/>
    <w:rsid w:val="007E1217"/>
    <w:rsid w:val="007E1945"/>
    <w:rsid w:val="007E36C2"/>
    <w:rsid w:val="007E418A"/>
    <w:rsid w:val="007E5389"/>
    <w:rsid w:val="007E65AF"/>
    <w:rsid w:val="007E7E95"/>
    <w:rsid w:val="007F0E75"/>
    <w:rsid w:val="007F3801"/>
    <w:rsid w:val="007F553B"/>
    <w:rsid w:val="00803065"/>
    <w:rsid w:val="00803D42"/>
    <w:rsid w:val="008042A0"/>
    <w:rsid w:val="00810F37"/>
    <w:rsid w:val="008126C2"/>
    <w:rsid w:val="00821B18"/>
    <w:rsid w:val="00824077"/>
    <w:rsid w:val="008252AC"/>
    <w:rsid w:val="008274D3"/>
    <w:rsid w:val="00831365"/>
    <w:rsid w:val="00831969"/>
    <w:rsid w:val="00832F97"/>
    <w:rsid w:val="008453AE"/>
    <w:rsid w:val="00853680"/>
    <w:rsid w:val="008546D9"/>
    <w:rsid w:val="00854AAC"/>
    <w:rsid w:val="00860C71"/>
    <w:rsid w:val="00862C72"/>
    <w:rsid w:val="00863341"/>
    <w:rsid w:val="00863EF1"/>
    <w:rsid w:val="0086598D"/>
    <w:rsid w:val="00870ADD"/>
    <w:rsid w:val="0087273D"/>
    <w:rsid w:val="008839AF"/>
    <w:rsid w:val="00884854"/>
    <w:rsid w:val="00887ECA"/>
    <w:rsid w:val="00894E5E"/>
    <w:rsid w:val="00896851"/>
    <w:rsid w:val="008A1770"/>
    <w:rsid w:val="008A27EF"/>
    <w:rsid w:val="008A2C76"/>
    <w:rsid w:val="008B1B2C"/>
    <w:rsid w:val="008B2009"/>
    <w:rsid w:val="008B5C7B"/>
    <w:rsid w:val="008C0C60"/>
    <w:rsid w:val="008C1422"/>
    <w:rsid w:val="008C20FC"/>
    <w:rsid w:val="008C41BE"/>
    <w:rsid w:val="008C6E43"/>
    <w:rsid w:val="008C7872"/>
    <w:rsid w:val="008D11BC"/>
    <w:rsid w:val="008D3417"/>
    <w:rsid w:val="008D4FAA"/>
    <w:rsid w:val="008D7134"/>
    <w:rsid w:val="008D7C46"/>
    <w:rsid w:val="008E0930"/>
    <w:rsid w:val="008F0739"/>
    <w:rsid w:val="008F1A87"/>
    <w:rsid w:val="008F3305"/>
    <w:rsid w:val="008F49BB"/>
    <w:rsid w:val="008F4D7A"/>
    <w:rsid w:val="008F5A0F"/>
    <w:rsid w:val="008F669A"/>
    <w:rsid w:val="008F73D3"/>
    <w:rsid w:val="008F7F05"/>
    <w:rsid w:val="009026D5"/>
    <w:rsid w:val="0090683F"/>
    <w:rsid w:val="00906C2C"/>
    <w:rsid w:val="00910BA3"/>
    <w:rsid w:val="0091203C"/>
    <w:rsid w:val="00920223"/>
    <w:rsid w:val="009220D0"/>
    <w:rsid w:val="00924A39"/>
    <w:rsid w:val="00931A3E"/>
    <w:rsid w:val="00934785"/>
    <w:rsid w:val="0093515B"/>
    <w:rsid w:val="00936386"/>
    <w:rsid w:val="00943161"/>
    <w:rsid w:val="009433F7"/>
    <w:rsid w:val="009500ED"/>
    <w:rsid w:val="00952637"/>
    <w:rsid w:val="00955666"/>
    <w:rsid w:val="00955C30"/>
    <w:rsid w:val="0095719D"/>
    <w:rsid w:val="00961F0A"/>
    <w:rsid w:val="0096341D"/>
    <w:rsid w:val="00964AD1"/>
    <w:rsid w:val="00964B4D"/>
    <w:rsid w:val="009651B5"/>
    <w:rsid w:val="00965857"/>
    <w:rsid w:val="009713F1"/>
    <w:rsid w:val="00974F18"/>
    <w:rsid w:val="0098403A"/>
    <w:rsid w:val="00984DE8"/>
    <w:rsid w:val="009914CA"/>
    <w:rsid w:val="009974AD"/>
    <w:rsid w:val="009A15ED"/>
    <w:rsid w:val="009A2D44"/>
    <w:rsid w:val="009A6F5D"/>
    <w:rsid w:val="009B0A0B"/>
    <w:rsid w:val="009B2E20"/>
    <w:rsid w:val="009B3A04"/>
    <w:rsid w:val="009C0011"/>
    <w:rsid w:val="009C0377"/>
    <w:rsid w:val="009C0890"/>
    <w:rsid w:val="009C2258"/>
    <w:rsid w:val="009C3217"/>
    <w:rsid w:val="009C5993"/>
    <w:rsid w:val="009C5AB3"/>
    <w:rsid w:val="009D1164"/>
    <w:rsid w:val="009D1948"/>
    <w:rsid w:val="009D36CC"/>
    <w:rsid w:val="009E6204"/>
    <w:rsid w:val="009F15C6"/>
    <w:rsid w:val="00A03DBB"/>
    <w:rsid w:val="00A0796E"/>
    <w:rsid w:val="00A130D8"/>
    <w:rsid w:val="00A14766"/>
    <w:rsid w:val="00A15BF0"/>
    <w:rsid w:val="00A166EE"/>
    <w:rsid w:val="00A1769F"/>
    <w:rsid w:val="00A26F56"/>
    <w:rsid w:val="00A31AF0"/>
    <w:rsid w:val="00A405DA"/>
    <w:rsid w:val="00A41607"/>
    <w:rsid w:val="00A41E8B"/>
    <w:rsid w:val="00A426C9"/>
    <w:rsid w:val="00A50DDA"/>
    <w:rsid w:val="00A52CC1"/>
    <w:rsid w:val="00A5428A"/>
    <w:rsid w:val="00A55B0D"/>
    <w:rsid w:val="00A55E9D"/>
    <w:rsid w:val="00A5755D"/>
    <w:rsid w:val="00A60880"/>
    <w:rsid w:val="00A634A0"/>
    <w:rsid w:val="00A66A8F"/>
    <w:rsid w:val="00A700F0"/>
    <w:rsid w:val="00A71187"/>
    <w:rsid w:val="00A7186F"/>
    <w:rsid w:val="00A765AC"/>
    <w:rsid w:val="00A76FA3"/>
    <w:rsid w:val="00A77788"/>
    <w:rsid w:val="00A80485"/>
    <w:rsid w:val="00A84BE5"/>
    <w:rsid w:val="00A8682E"/>
    <w:rsid w:val="00A90C6C"/>
    <w:rsid w:val="00A931DC"/>
    <w:rsid w:val="00A93E19"/>
    <w:rsid w:val="00A93F18"/>
    <w:rsid w:val="00A94062"/>
    <w:rsid w:val="00AA4731"/>
    <w:rsid w:val="00AA76CE"/>
    <w:rsid w:val="00AB0079"/>
    <w:rsid w:val="00AB073A"/>
    <w:rsid w:val="00AB108E"/>
    <w:rsid w:val="00AB5592"/>
    <w:rsid w:val="00AB6B13"/>
    <w:rsid w:val="00AC2841"/>
    <w:rsid w:val="00AC34EF"/>
    <w:rsid w:val="00AC7B51"/>
    <w:rsid w:val="00AC7B6A"/>
    <w:rsid w:val="00AD0743"/>
    <w:rsid w:val="00AD7096"/>
    <w:rsid w:val="00AE0821"/>
    <w:rsid w:val="00AE0E4B"/>
    <w:rsid w:val="00AE340A"/>
    <w:rsid w:val="00AF15C0"/>
    <w:rsid w:val="00AF4B70"/>
    <w:rsid w:val="00B005FE"/>
    <w:rsid w:val="00B033AE"/>
    <w:rsid w:val="00B0656E"/>
    <w:rsid w:val="00B06B4E"/>
    <w:rsid w:val="00B10828"/>
    <w:rsid w:val="00B14DFF"/>
    <w:rsid w:val="00B1557D"/>
    <w:rsid w:val="00B20FAB"/>
    <w:rsid w:val="00B21DFB"/>
    <w:rsid w:val="00B26091"/>
    <w:rsid w:val="00B323AA"/>
    <w:rsid w:val="00B326D8"/>
    <w:rsid w:val="00B32ECD"/>
    <w:rsid w:val="00B36608"/>
    <w:rsid w:val="00B37080"/>
    <w:rsid w:val="00B408B2"/>
    <w:rsid w:val="00B42D4B"/>
    <w:rsid w:val="00B452D7"/>
    <w:rsid w:val="00B52D1D"/>
    <w:rsid w:val="00B5392C"/>
    <w:rsid w:val="00B561A9"/>
    <w:rsid w:val="00B65AD4"/>
    <w:rsid w:val="00B66E52"/>
    <w:rsid w:val="00B6734A"/>
    <w:rsid w:val="00B7554B"/>
    <w:rsid w:val="00B759E5"/>
    <w:rsid w:val="00B80169"/>
    <w:rsid w:val="00B9055D"/>
    <w:rsid w:val="00B9143E"/>
    <w:rsid w:val="00B91B39"/>
    <w:rsid w:val="00B93470"/>
    <w:rsid w:val="00B94982"/>
    <w:rsid w:val="00B976D0"/>
    <w:rsid w:val="00B97E5B"/>
    <w:rsid w:val="00BB2C08"/>
    <w:rsid w:val="00BB36D4"/>
    <w:rsid w:val="00BC1824"/>
    <w:rsid w:val="00BD1EF3"/>
    <w:rsid w:val="00BD3C16"/>
    <w:rsid w:val="00BD49E3"/>
    <w:rsid w:val="00BD55E8"/>
    <w:rsid w:val="00BD5B26"/>
    <w:rsid w:val="00BE64D2"/>
    <w:rsid w:val="00BE7D8C"/>
    <w:rsid w:val="00BF1305"/>
    <w:rsid w:val="00BF42FB"/>
    <w:rsid w:val="00BF492C"/>
    <w:rsid w:val="00BF4B83"/>
    <w:rsid w:val="00C0039F"/>
    <w:rsid w:val="00C01CBC"/>
    <w:rsid w:val="00C03BBF"/>
    <w:rsid w:val="00C1127D"/>
    <w:rsid w:val="00C13077"/>
    <w:rsid w:val="00C1347C"/>
    <w:rsid w:val="00C175D0"/>
    <w:rsid w:val="00C21F3D"/>
    <w:rsid w:val="00C36BC2"/>
    <w:rsid w:val="00C42A9B"/>
    <w:rsid w:val="00C46C9C"/>
    <w:rsid w:val="00C5248E"/>
    <w:rsid w:val="00C53E1F"/>
    <w:rsid w:val="00C6574B"/>
    <w:rsid w:val="00C669AA"/>
    <w:rsid w:val="00C66F0E"/>
    <w:rsid w:val="00C729AB"/>
    <w:rsid w:val="00C73798"/>
    <w:rsid w:val="00C76201"/>
    <w:rsid w:val="00C80E2A"/>
    <w:rsid w:val="00C903E0"/>
    <w:rsid w:val="00C914FA"/>
    <w:rsid w:val="00C91CA6"/>
    <w:rsid w:val="00C94E48"/>
    <w:rsid w:val="00C97D92"/>
    <w:rsid w:val="00CA119B"/>
    <w:rsid w:val="00CB1B5B"/>
    <w:rsid w:val="00CB36FF"/>
    <w:rsid w:val="00CB579A"/>
    <w:rsid w:val="00CB5FA7"/>
    <w:rsid w:val="00CC0070"/>
    <w:rsid w:val="00CC023A"/>
    <w:rsid w:val="00CC132D"/>
    <w:rsid w:val="00CC59AB"/>
    <w:rsid w:val="00CD20F5"/>
    <w:rsid w:val="00CD4BE6"/>
    <w:rsid w:val="00CE073F"/>
    <w:rsid w:val="00CE584F"/>
    <w:rsid w:val="00CF13CD"/>
    <w:rsid w:val="00CF19F0"/>
    <w:rsid w:val="00D0100B"/>
    <w:rsid w:val="00D01DCF"/>
    <w:rsid w:val="00D04AFB"/>
    <w:rsid w:val="00D074F2"/>
    <w:rsid w:val="00D15CB7"/>
    <w:rsid w:val="00D17EBE"/>
    <w:rsid w:val="00D2144F"/>
    <w:rsid w:val="00D21BCC"/>
    <w:rsid w:val="00D25783"/>
    <w:rsid w:val="00D313BF"/>
    <w:rsid w:val="00D31E7D"/>
    <w:rsid w:val="00D32220"/>
    <w:rsid w:val="00D369EB"/>
    <w:rsid w:val="00D36B26"/>
    <w:rsid w:val="00D36F62"/>
    <w:rsid w:val="00D379EA"/>
    <w:rsid w:val="00D452AB"/>
    <w:rsid w:val="00D46DC0"/>
    <w:rsid w:val="00D475D6"/>
    <w:rsid w:val="00D513DE"/>
    <w:rsid w:val="00D5195B"/>
    <w:rsid w:val="00D51F6C"/>
    <w:rsid w:val="00D536CD"/>
    <w:rsid w:val="00D55F63"/>
    <w:rsid w:val="00D625C0"/>
    <w:rsid w:val="00D62D03"/>
    <w:rsid w:val="00D65687"/>
    <w:rsid w:val="00D65C8B"/>
    <w:rsid w:val="00D660F3"/>
    <w:rsid w:val="00D67F4C"/>
    <w:rsid w:val="00D72B93"/>
    <w:rsid w:val="00D734F8"/>
    <w:rsid w:val="00D73BFA"/>
    <w:rsid w:val="00D750A7"/>
    <w:rsid w:val="00D91D66"/>
    <w:rsid w:val="00D928AA"/>
    <w:rsid w:val="00D92AFD"/>
    <w:rsid w:val="00D93498"/>
    <w:rsid w:val="00DA4B53"/>
    <w:rsid w:val="00DB00DD"/>
    <w:rsid w:val="00DB2671"/>
    <w:rsid w:val="00DB388D"/>
    <w:rsid w:val="00DB7131"/>
    <w:rsid w:val="00DC69F5"/>
    <w:rsid w:val="00DD41C3"/>
    <w:rsid w:val="00DD565B"/>
    <w:rsid w:val="00DD7582"/>
    <w:rsid w:val="00DD7AAB"/>
    <w:rsid w:val="00DE1B0F"/>
    <w:rsid w:val="00DE251F"/>
    <w:rsid w:val="00DE6931"/>
    <w:rsid w:val="00DF0F61"/>
    <w:rsid w:val="00DF2EDA"/>
    <w:rsid w:val="00DF4D3A"/>
    <w:rsid w:val="00DF5E51"/>
    <w:rsid w:val="00DF610E"/>
    <w:rsid w:val="00DF662F"/>
    <w:rsid w:val="00DF7419"/>
    <w:rsid w:val="00E0138D"/>
    <w:rsid w:val="00E02EAA"/>
    <w:rsid w:val="00E07B99"/>
    <w:rsid w:val="00E12965"/>
    <w:rsid w:val="00E12B72"/>
    <w:rsid w:val="00E13C56"/>
    <w:rsid w:val="00E15975"/>
    <w:rsid w:val="00E2123F"/>
    <w:rsid w:val="00E21422"/>
    <w:rsid w:val="00E22DA5"/>
    <w:rsid w:val="00E32500"/>
    <w:rsid w:val="00E32B51"/>
    <w:rsid w:val="00E41733"/>
    <w:rsid w:val="00E44B8F"/>
    <w:rsid w:val="00E45D9D"/>
    <w:rsid w:val="00E53CC1"/>
    <w:rsid w:val="00E55965"/>
    <w:rsid w:val="00E5704A"/>
    <w:rsid w:val="00E60474"/>
    <w:rsid w:val="00E6153B"/>
    <w:rsid w:val="00E62DAA"/>
    <w:rsid w:val="00E63E89"/>
    <w:rsid w:val="00E6427E"/>
    <w:rsid w:val="00E647D5"/>
    <w:rsid w:val="00E648DE"/>
    <w:rsid w:val="00E65FBD"/>
    <w:rsid w:val="00E669EE"/>
    <w:rsid w:val="00E70DDA"/>
    <w:rsid w:val="00E72772"/>
    <w:rsid w:val="00E761AA"/>
    <w:rsid w:val="00E775E1"/>
    <w:rsid w:val="00E83846"/>
    <w:rsid w:val="00E83EA8"/>
    <w:rsid w:val="00E917B0"/>
    <w:rsid w:val="00E921FD"/>
    <w:rsid w:val="00E95270"/>
    <w:rsid w:val="00E97037"/>
    <w:rsid w:val="00EA450A"/>
    <w:rsid w:val="00EA56C4"/>
    <w:rsid w:val="00EB1B51"/>
    <w:rsid w:val="00EB427C"/>
    <w:rsid w:val="00EB4F2F"/>
    <w:rsid w:val="00EB5FB9"/>
    <w:rsid w:val="00EB7D55"/>
    <w:rsid w:val="00EC043F"/>
    <w:rsid w:val="00EC1548"/>
    <w:rsid w:val="00EC16C3"/>
    <w:rsid w:val="00EC3243"/>
    <w:rsid w:val="00EC7A70"/>
    <w:rsid w:val="00EC7FA0"/>
    <w:rsid w:val="00ED1EE0"/>
    <w:rsid w:val="00ED6360"/>
    <w:rsid w:val="00ED6B40"/>
    <w:rsid w:val="00EF39B9"/>
    <w:rsid w:val="00EF54D1"/>
    <w:rsid w:val="00EF68E9"/>
    <w:rsid w:val="00EF72A4"/>
    <w:rsid w:val="00EF753A"/>
    <w:rsid w:val="00F00552"/>
    <w:rsid w:val="00F11636"/>
    <w:rsid w:val="00F12A05"/>
    <w:rsid w:val="00F216A3"/>
    <w:rsid w:val="00F2191B"/>
    <w:rsid w:val="00F21E0D"/>
    <w:rsid w:val="00F229DE"/>
    <w:rsid w:val="00F31815"/>
    <w:rsid w:val="00F32785"/>
    <w:rsid w:val="00F34E09"/>
    <w:rsid w:val="00F354A2"/>
    <w:rsid w:val="00F37182"/>
    <w:rsid w:val="00F373C4"/>
    <w:rsid w:val="00F37CB6"/>
    <w:rsid w:val="00F406DF"/>
    <w:rsid w:val="00F40828"/>
    <w:rsid w:val="00F44BE3"/>
    <w:rsid w:val="00F45EE6"/>
    <w:rsid w:val="00F5054E"/>
    <w:rsid w:val="00F51F06"/>
    <w:rsid w:val="00F52639"/>
    <w:rsid w:val="00F54C96"/>
    <w:rsid w:val="00F61F89"/>
    <w:rsid w:val="00F65ABE"/>
    <w:rsid w:val="00F66BF9"/>
    <w:rsid w:val="00F66EAB"/>
    <w:rsid w:val="00F67818"/>
    <w:rsid w:val="00F7310C"/>
    <w:rsid w:val="00F74B52"/>
    <w:rsid w:val="00F76DA8"/>
    <w:rsid w:val="00F7752F"/>
    <w:rsid w:val="00F81AE6"/>
    <w:rsid w:val="00F82126"/>
    <w:rsid w:val="00F824F7"/>
    <w:rsid w:val="00F82C2E"/>
    <w:rsid w:val="00F87113"/>
    <w:rsid w:val="00F9364B"/>
    <w:rsid w:val="00F95E98"/>
    <w:rsid w:val="00F97149"/>
    <w:rsid w:val="00F974DC"/>
    <w:rsid w:val="00FA20F5"/>
    <w:rsid w:val="00FA455F"/>
    <w:rsid w:val="00FB1BB4"/>
    <w:rsid w:val="00FB3508"/>
    <w:rsid w:val="00FB4E63"/>
    <w:rsid w:val="00FB4EEC"/>
    <w:rsid w:val="00FB566F"/>
    <w:rsid w:val="00FB61DD"/>
    <w:rsid w:val="00FB628A"/>
    <w:rsid w:val="00FB7210"/>
    <w:rsid w:val="00FB74C0"/>
    <w:rsid w:val="00FB74E5"/>
    <w:rsid w:val="00FB75FE"/>
    <w:rsid w:val="00FC103C"/>
    <w:rsid w:val="00FC34BA"/>
    <w:rsid w:val="00FC3BC9"/>
    <w:rsid w:val="00FC6149"/>
    <w:rsid w:val="00FD2CCC"/>
    <w:rsid w:val="00FD5854"/>
    <w:rsid w:val="00FD61B4"/>
    <w:rsid w:val="00FD6462"/>
    <w:rsid w:val="00FE0DF6"/>
    <w:rsid w:val="00FE572D"/>
    <w:rsid w:val="00FF1F50"/>
    <w:rsid w:val="00FF4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297CFD5"/>
  <w15:chartTrackingRefBased/>
  <w15:docId w15:val="{8ED051EF-7B19-4A67-B4BF-EC74E961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26C9"/>
    <w:pPr>
      <w:spacing w:after="0" w:line="240" w:lineRule="auto"/>
    </w:pPr>
    <w:rPr>
      <w:rFonts w:eastAsia="Times New Roman" w:cs="Times New Roman"/>
      <w:szCs w:val="24"/>
    </w:rPr>
  </w:style>
  <w:style w:type="paragraph" w:styleId="Overskrift1">
    <w:name w:val="heading 1"/>
    <w:basedOn w:val="Normal"/>
    <w:next w:val="Normal"/>
    <w:link w:val="Overskrift1Tegn"/>
    <w:uiPriority w:val="9"/>
    <w:qFormat/>
    <w:rsid w:val="0085368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85368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853680"/>
    <w:pPr>
      <w:keepNext/>
      <w:keepLines/>
      <w:spacing w:before="40"/>
      <w:outlineLvl w:val="2"/>
    </w:pPr>
    <w:rPr>
      <w:rFonts w:asciiTheme="majorHAnsi" w:eastAsiaTheme="majorEastAsia" w:hAnsiTheme="majorHAnsi" w:cstheme="majorBidi"/>
      <w:color w:val="1F4D78" w:themeColor="accent1" w:themeShade="7F"/>
    </w:rPr>
  </w:style>
  <w:style w:type="paragraph" w:styleId="Overskrift4">
    <w:name w:val="heading 4"/>
    <w:basedOn w:val="Normal"/>
    <w:next w:val="Normal"/>
    <w:link w:val="Overskrift4Tegn"/>
    <w:uiPriority w:val="9"/>
    <w:unhideWhenUsed/>
    <w:qFormat/>
    <w:rsid w:val="00853680"/>
    <w:pPr>
      <w:keepNext/>
      <w:keepLines/>
      <w:spacing w:before="4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uiPriority w:val="9"/>
    <w:unhideWhenUsed/>
    <w:qFormat/>
    <w:rsid w:val="00853680"/>
    <w:pPr>
      <w:keepNext/>
      <w:keepLines/>
      <w:spacing w:before="40"/>
      <w:outlineLvl w:val="4"/>
    </w:pPr>
    <w:rPr>
      <w:rFonts w:asciiTheme="majorHAnsi" w:eastAsiaTheme="majorEastAsia" w:hAnsiTheme="majorHAnsi" w:cstheme="majorBidi"/>
      <w:color w:val="2E74B5"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53680"/>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foravsnitt"/>
    <w:link w:val="Overskrift2"/>
    <w:uiPriority w:val="9"/>
    <w:rsid w:val="00853680"/>
    <w:rPr>
      <w:rFonts w:asciiTheme="majorHAnsi" w:eastAsiaTheme="majorEastAsia" w:hAnsiTheme="majorHAnsi" w:cstheme="majorBidi"/>
      <w:color w:val="2E74B5" w:themeColor="accent1" w:themeShade="BF"/>
      <w:sz w:val="26"/>
      <w:szCs w:val="26"/>
    </w:rPr>
  </w:style>
  <w:style w:type="character" w:customStyle="1" w:styleId="Overskrift3Tegn">
    <w:name w:val="Overskrift 3 Tegn"/>
    <w:basedOn w:val="Standardskriftforavsnitt"/>
    <w:link w:val="Overskrift3"/>
    <w:uiPriority w:val="9"/>
    <w:rsid w:val="00853680"/>
    <w:rPr>
      <w:rFonts w:asciiTheme="majorHAnsi" w:eastAsiaTheme="majorEastAsia" w:hAnsiTheme="majorHAnsi" w:cstheme="majorBidi"/>
      <w:color w:val="1F4D78" w:themeColor="accent1" w:themeShade="7F"/>
      <w:szCs w:val="24"/>
    </w:rPr>
  </w:style>
  <w:style w:type="character" w:customStyle="1" w:styleId="Overskrift4Tegn">
    <w:name w:val="Overskrift 4 Tegn"/>
    <w:basedOn w:val="Standardskriftforavsnitt"/>
    <w:link w:val="Overskrift4"/>
    <w:uiPriority w:val="9"/>
    <w:rsid w:val="00853680"/>
    <w:rPr>
      <w:rFonts w:asciiTheme="majorHAnsi" w:eastAsiaTheme="majorEastAsia" w:hAnsiTheme="majorHAnsi" w:cstheme="majorBidi"/>
      <w:i/>
      <w:iCs/>
      <w:color w:val="2E74B5" w:themeColor="accent1" w:themeShade="BF"/>
    </w:rPr>
  </w:style>
  <w:style w:type="character" w:customStyle="1" w:styleId="Overskrift5Tegn">
    <w:name w:val="Overskrift 5 Tegn"/>
    <w:basedOn w:val="Standardskriftforavsnitt"/>
    <w:link w:val="Overskrift5"/>
    <w:uiPriority w:val="9"/>
    <w:rsid w:val="00853680"/>
    <w:rPr>
      <w:rFonts w:asciiTheme="majorHAnsi" w:eastAsiaTheme="majorEastAsia" w:hAnsiTheme="majorHAnsi" w:cstheme="majorBidi"/>
      <w:color w:val="2E74B5" w:themeColor="accent1" w:themeShade="BF"/>
    </w:rPr>
  </w:style>
  <w:style w:type="paragraph" w:styleId="Tittel">
    <w:name w:val="Title"/>
    <w:basedOn w:val="Normal"/>
    <w:next w:val="Normal"/>
    <w:link w:val="TittelTegn"/>
    <w:uiPriority w:val="10"/>
    <w:qFormat/>
    <w:rsid w:val="00853680"/>
    <w:pPr>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53680"/>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853680"/>
    <w:pPr>
      <w:numPr>
        <w:ilvl w:val="1"/>
      </w:numPr>
    </w:pPr>
    <w:rPr>
      <w:rFonts w:asciiTheme="minorHAnsi" w:eastAsiaTheme="minorEastAsia" w:hAnsiTheme="minorHAnsi"/>
      <w:color w:val="5A5A5A" w:themeColor="text1" w:themeTint="A5"/>
      <w:spacing w:val="15"/>
      <w:sz w:val="22"/>
    </w:rPr>
  </w:style>
  <w:style w:type="character" w:customStyle="1" w:styleId="UndertittelTegn">
    <w:name w:val="Undertittel Tegn"/>
    <w:basedOn w:val="Standardskriftforavsnitt"/>
    <w:link w:val="Undertittel"/>
    <w:uiPriority w:val="11"/>
    <w:rsid w:val="00853680"/>
    <w:rPr>
      <w:rFonts w:asciiTheme="minorHAnsi" w:eastAsiaTheme="minorEastAsia" w:hAnsiTheme="minorHAnsi"/>
      <w:color w:val="5A5A5A" w:themeColor="text1" w:themeTint="A5"/>
      <w:spacing w:val="15"/>
      <w:sz w:val="22"/>
    </w:rPr>
  </w:style>
  <w:style w:type="paragraph" w:styleId="Ingenmellomrom">
    <w:name w:val="No Spacing"/>
    <w:uiPriority w:val="1"/>
    <w:qFormat/>
    <w:rsid w:val="00853680"/>
    <w:pPr>
      <w:spacing w:after="0" w:line="240" w:lineRule="auto"/>
    </w:pPr>
  </w:style>
  <w:style w:type="character" w:styleId="Hyperkobling">
    <w:name w:val="Hyperlink"/>
    <w:basedOn w:val="Standardskriftforavsnitt"/>
    <w:uiPriority w:val="99"/>
    <w:semiHidden/>
    <w:unhideWhenUsed/>
    <w:rsid w:val="004C1271"/>
    <w:rPr>
      <w:color w:val="0000FF"/>
      <w:u w:val="single"/>
    </w:rPr>
  </w:style>
  <w:style w:type="paragraph" w:styleId="Topptekst">
    <w:name w:val="header"/>
    <w:basedOn w:val="Normal"/>
    <w:link w:val="TopptekstTegn"/>
    <w:uiPriority w:val="99"/>
    <w:unhideWhenUsed/>
    <w:rsid w:val="00562BD2"/>
    <w:pPr>
      <w:tabs>
        <w:tab w:val="center" w:pos="4536"/>
        <w:tab w:val="right" w:pos="9072"/>
      </w:tabs>
    </w:pPr>
  </w:style>
  <w:style w:type="character" w:customStyle="1" w:styleId="TopptekstTegn">
    <w:name w:val="Topptekst Tegn"/>
    <w:basedOn w:val="Standardskriftforavsnitt"/>
    <w:link w:val="Topptekst"/>
    <w:uiPriority w:val="99"/>
    <w:rsid w:val="00562BD2"/>
    <w:rPr>
      <w:rFonts w:eastAsia="Times New Roman" w:cs="Times New Roman"/>
      <w:szCs w:val="24"/>
    </w:rPr>
  </w:style>
  <w:style w:type="paragraph" w:styleId="Bunntekst">
    <w:name w:val="footer"/>
    <w:basedOn w:val="Normal"/>
    <w:link w:val="BunntekstTegn"/>
    <w:uiPriority w:val="99"/>
    <w:unhideWhenUsed/>
    <w:rsid w:val="00562BD2"/>
    <w:pPr>
      <w:tabs>
        <w:tab w:val="center" w:pos="4536"/>
        <w:tab w:val="right" w:pos="9072"/>
      </w:tabs>
    </w:pPr>
  </w:style>
  <w:style w:type="character" w:customStyle="1" w:styleId="BunntekstTegn">
    <w:name w:val="Bunntekst Tegn"/>
    <w:basedOn w:val="Standardskriftforavsnitt"/>
    <w:link w:val="Bunntekst"/>
    <w:uiPriority w:val="99"/>
    <w:rsid w:val="00562BD2"/>
    <w:rPr>
      <w:rFonts w:eastAsia="Times New Roman" w:cs="Times New Roman"/>
      <w:szCs w:val="24"/>
    </w:rPr>
  </w:style>
  <w:style w:type="paragraph" w:styleId="Rentekst">
    <w:name w:val="Plain Text"/>
    <w:basedOn w:val="Normal"/>
    <w:link w:val="RentekstTegn"/>
    <w:uiPriority w:val="99"/>
    <w:unhideWhenUsed/>
    <w:rsid w:val="00B80169"/>
    <w:rPr>
      <w:rFonts w:ascii="Calibri" w:eastAsiaTheme="minorHAnsi" w:hAnsi="Calibri" w:cstheme="minorBidi"/>
      <w:sz w:val="22"/>
      <w:szCs w:val="21"/>
    </w:rPr>
  </w:style>
  <w:style w:type="character" w:customStyle="1" w:styleId="RentekstTegn">
    <w:name w:val="Ren tekst Tegn"/>
    <w:basedOn w:val="Standardskriftforavsnitt"/>
    <w:link w:val="Rentekst"/>
    <w:uiPriority w:val="99"/>
    <w:rsid w:val="00B80169"/>
    <w:rPr>
      <w:rFonts w:ascii="Calibri" w:hAnsi="Calibri"/>
      <w:sz w:val="22"/>
      <w:szCs w:val="21"/>
    </w:rPr>
  </w:style>
  <w:style w:type="paragraph" w:styleId="Fotnotetekst">
    <w:name w:val="footnote text"/>
    <w:basedOn w:val="Normal"/>
    <w:link w:val="FotnotetekstTegn"/>
    <w:uiPriority w:val="99"/>
    <w:semiHidden/>
    <w:unhideWhenUsed/>
    <w:rsid w:val="000F5474"/>
    <w:rPr>
      <w:sz w:val="20"/>
      <w:szCs w:val="20"/>
    </w:rPr>
  </w:style>
  <w:style w:type="character" w:customStyle="1" w:styleId="FotnotetekstTegn">
    <w:name w:val="Fotnotetekst Tegn"/>
    <w:basedOn w:val="Standardskriftforavsnitt"/>
    <w:link w:val="Fotnotetekst"/>
    <w:uiPriority w:val="99"/>
    <w:semiHidden/>
    <w:rsid w:val="000F5474"/>
    <w:rPr>
      <w:rFonts w:eastAsia="Times New Roman" w:cs="Times New Roman"/>
      <w:sz w:val="20"/>
      <w:szCs w:val="20"/>
    </w:rPr>
  </w:style>
  <w:style w:type="character" w:styleId="Fotnotereferanse">
    <w:name w:val="footnote reference"/>
    <w:basedOn w:val="Standardskriftforavsnitt"/>
    <w:uiPriority w:val="99"/>
    <w:semiHidden/>
    <w:unhideWhenUsed/>
    <w:rsid w:val="000F5474"/>
    <w:rPr>
      <w:vertAlign w:val="superscript"/>
    </w:rPr>
  </w:style>
  <w:style w:type="character" w:styleId="Fulgthyperkobling">
    <w:name w:val="FollowedHyperlink"/>
    <w:basedOn w:val="Standardskriftforavsnitt"/>
    <w:uiPriority w:val="99"/>
    <w:semiHidden/>
    <w:unhideWhenUsed/>
    <w:rsid w:val="00427809"/>
    <w:rPr>
      <w:color w:val="954F72" w:themeColor="followedHyperlink"/>
      <w:u w:val="single"/>
    </w:rPr>
  </w:style>
  <w:style w:type="character" w:styleId="Utheving">
    <w:name w:val="Emphasis"/>
    <w:basedOn w:val="Standardskriftforavsnitt"/>
    <w:uiPriority w:val="20"/>
    <w:qFormat/>
    <w:rsid w:val="00421245"/>
    <w:rPr>
      <w:i/>
      <w:iCs/>
    </w:rPr>
  </w:style>
  <w:style w:type="paragraph" w:styleId="Bobletekst">
    <w:name w:val="Balloon Text"/>
    <w:basedOn w:val="Normal"/>
    <w:link w:val="BobletekstTegn"/>
    <w:uiPriority w:val="99"/>
    <w:semiHidden/>
    <w:unhideWhenUsed/>
    <w:rsid w:val="00202A16"/>
    <w:rPr>
      <w:rFonts w:ascii="Segoe UI" w:hAnsi="Segoe UI" w:cs="Segoe UI"/>
      <w:sz w:val="18"/>
      <w:szCs w:val="18"/>
    </w:rPr>
  </w:style>
  <w:style w:type="character" w:customStyle="1" w:styleId="BobletekstTegn">
    <w:name w:val="Bobletekst Tegn"/>
    <w:basedOn w:val="Standardskriftforavsnitt"/>
    <w:link w:val="Bobletekst"/>
    <w:uiPriority w:val="99"/>
    <w:semiHidden/>
    <w:rsid w:val="00202A16"/>
    <w:rPr>
      <w:rFonts w:ascii="Segoe UI" w:eastAsia="Times New Roman" w:hAnsi="Segoe UI" w:cs="Segoe UI"/>
      <w:sz w:val="18"/>
      <w:szCs w:val="18"/>
    </w:rPr>
  </w:style>
  <w:style w:type="paragraph" w:styleId="Revisjon">
    <w:name w:val="Revision"/>
    <w:hidden/>
    <w:uiPriority w:val="99"/>
    <w:semiHidden/>
    <w:rsid w:val="00707F84"/>
    <w:pPr>
      <w:spacing w:after="0" w:line="240" w:lineRule="auto"/>
    </w:pPr>
    <w:rPr>
      <w:rFonts w:eastAsia="Times New Roman" w:cs="Times New Roman"/>
      <w:szCs w:val="24"/>
    </w:rPr>
  </w:style>
  <w:style w:type="character" w:styleId="Merknadsreferanse">
    <w:name w:val="annotation reference"/>
    <w:basedOn w:val="Standardskriftforavsnitt"/>
    <w:uiPriority w:val="99"/>
    <w:semiHidden/>
    <w:unhideWhenUsed/>
    <w:rsid w:val="00CB1B5B"/>
    <w:rPr>
      <w:sz w:val="16"/>
      <w:szCs w:val="16"/>
    </w:rPr>
  </w:style>
  <w:style w:type="paragraph" w:styleId="Merknadstekst">
    <w:name w:val="annotation text"/>
    <w:basedOn w:val="Normal"/>
    <w:link w:val="MerknadstekstTegn"/>
    <w:uiPriority w:val="99"/>
    <w:semiHidden/>
    <w:unhideWhenUsed/>
    <w:rsid w:val="00CB1B5B"/>
    <w:rPr>
      <w:sz w:val="20"/>
      <w:szCs w:val="20"/>
    </w:rPr>
  </w:style>
  <w:style w:type="character" w:customStyle="1" w:styleId="MerknadstekstTegn">
    <w:name w:val="Merknadstekst Tegn"/>
    <w:basedOn w:val="Standardskriftforavsnitt"/>
    <w:link w:val="Merknadstekst"/>
    <w:uiPriority w:val="99"/>
    <w:semiHidden/>
    <w:rsid w:val="00CB1B5B"/>
    <w:rPr>
      <w:rFonts w:eastAsia="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B1B5B"/>
    <w:rPr>
      <w:b/>
      <w:bCs/>
    </w:rPr>
  </w:style>
  <w:style w:type="character" w:customStyle="1" w:styleId="KommentaremneTegn">
    <w:name w:val="Kommentaremne Tegn"/>
    <w:basedOn w:val="MerknadstekstTegn"/>
    <w:link w:val="Kommentaremne"/>
    <w:uiPriority w:val="99"/>
    <w:semiHidden/>
    <w:rsid w:val="00CB1B5B"/>
    <w:rPr>
      <w:rFonts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95789">
      <w:bodyDiv w:val="1"/>
      <w:marLeft w:val="0"/>
      <w:marRight w:val="0"/>
      <w:marTop w:val="0"/>
      <w:marBottom w:val="0"/>
      <w:divBdr>
        <w:top w:val="none" w:sz="0" w:space="0" w:color="auto"/>
        <w:left w:val="none" w:sz="0" w:space="0" w:color="auto"/>
        <w:bottom w:val="none" w:sz="0" w:space="0" w:color="auto"/>
        <w:right w:val="none" w:sz="0" w:space="0" w:color="auto"/>
      </w:divBdr>
    </w:div>
    <w:div w:id="162283443">
      <w:bodyDiv w:val="1"/>
      <w:marLeft w:val="0"/>
      <w:marRight w:val="0"/>
      <w:marTop w:val="0"/>
      <w:marBottom w:val="0"/>
      <w:divBdr>
        <w:top w:val="none" w:sz="0" w:space="0" w:color="auto"/>
        <w:left w:val="none" w:sz="0" w:space="0" w:color="auto"/>
        <w:bottom w:val="none" w:sz="0" w:space="0" w:color="auto"/>
        <w:right w:val="none" w:sz="0" w:space="0" w:color="auto"/>
      </w:divBdr>
      <w:divsChild>
        <w:div w:id="2091661098">
          <w:marLeft w:val="-300"/>
          <w:marRight w:val="-300"/>
          <w:marTop w:val="0"/>
          <w:marBottom w:val="150"/>
          <w:divBdr>
            <w:top w:val="none" w:sz="0" w:space="0" w:color="auto"/>
            <w:left w:val="none" w:sz="0" w:space="0" w:color="auto"/>
            <w:bottom w:val="none" w:sz="0" w:space="0" w:color="auto"/>
            <w:right w:val="none" w:sz="0" w:space="0" w:color="auto"/>
          </w:divBdr>
        </w:div>
        <w:div w:id="1491559105">
          <w:marLeft w:val="0"/>
          <w:marRight w:val="0"/>
          <w:marTop w:val="0"/>
          <w:marBottom w:val="30"/>
          <w:divBdr>
            <w:top w:val="none" w:sz="0" w:space="0" w:color="auto"/>
            <w:left w:val="none" w:sz="0" w:space="0" w:color="auto"/>
            <w:bottom w:val="none" w:sz="0" w:space="0" w:color="auto"/>
            <w:right w:val="none" w:sz="0" w:space="0" w:color="auto"/>
          </w:divBdr>
        </w:div>
        <w:div w:id="447705239">
          <w:marLeft w:val="-300"/>
          <w:marRight w:val="-300"/>
          <w:marTop w:val="0"/>
          <w:marBottom w:val="150"/>
          <w:divBdr>
            <w:top w:val="none" w:sz="0" w:space="0" w:color="auto"/>
            <w:left w:val="none" w:sz="0" w:space="0" w:color="auto"/>
            <w:bottom w:val="none" w:sz="0" w:space="0" w:color="auto"/>
            <w:right w:val="none" w:sz="0" w:space="0" w:color="auto"/>
          </w:divBdr>
        </w:div>
      </w:divsChild>
    </w:div>
    <w:div w:id="217398093">
      <w:bodyDiv w:val="1"/>
      <w:marLeft w:val="0"/>
      <w:marRight w:val="0"/>
      <w:marTop w:val="0"/>
      <w:marBottom w:val="0"/>
      <w:divBdr>
        <w:top w:val="none" w:sz="0" w:space="0" w:color="auto"/>
        <w:left w:val="none" w:sz="0" w:space="0" w:color="auto"/>
        <w:bottom w:val="none" w:sz="0" w:space="0" w:color="auto"/>
        <w:right w:val="none" w:sz="0" w:space="0" w:color="auto"/>
      </w:divBdr>
    </w:div>
    <w:div w:id="236286529">
      <w:bodyDiv w:val="1"/>
      <w:marLeft w:val="0"/>
      <w:marRight w:val="0"/>
      <w:marTop w:val="0"/>
      <w:marBottom w:val="0"/>
      <w:divBdr>
        <w:top w:val="none" w:sz="0" w:space="0" w:color="auto"/>
        <w:left w:val="none" w:sz="0" w:space="0" w:color="auto"/>
        <w:bottom w:val="none" w:sz="0" w:space="0" w:color="auto"/>
        <w:right w:val="none" w:sz="0" w:space="0" w:color="auto"/>
      </w:divBdr>
    </w:div>
    <w:div w:id="334958054">
      <w:bodyDiv w:val="1"/>
      <w:marLeft w:val="0"/>
      <w:marRight w:val="0"/>
      <w:marTop w:val="0"/>
      <w:marBottom w:val="0"/>
      <w:divBdr>
        <w:top w:val="none" w:sz="0" w:space="0" w:color="auto"/>
        <w:left w:val="none" w:sz="0" w:space="0" w:color="auto"/>
        <w:bottom w:val="none" w:sz="0" w:space="0" w:color="auto"/>
        <w:right w:val="none" w:sz="0" w:space="0" w:color="auto"/>
      </w:divBdr>
    </w:div>
    <w:div w:id="380985340">
      <w:bodyDiv w:val="1"/>
      <w:marLeft w:val="0"/>
      <w:marRight w:val="0"/>
      <w:marTop w:val="0"/>
      <w:marBottom w:val="0"/>
      <w:divBdr>
        <w:top w:val="none" w:sz="0" w:space="0" w:color="auto"/>
        <w:left w:val="none" w:sz="0" w:space="0" w:color="auto"/>
        <w:bottom w:val="none" w:sz="0" w:space="0" w:color="auto"/>
        <w:right w:val="none" w:sz="0" w:space="0" w:color="auto"/>
      </w:divBdr>
    </w:div>
    <w:div w:id="393507346">
      <w:bodyDiv w:val="1"/>
      <w:marLeft w:val="0"/>
      <w:marRight w:val="0"/>
      <w:marTop w:val="0"/>
      <w:marBottom w:val="0"/>
      <w:divBdr>
        <w:top w:val="none" w:sz="0" w:space="0" w:color="auto"/>
        <w:left w:val="none" w:sz="0" w:space="0" w:color="auto"/>
        <w:bottom w:val="none" w:sz="0" w:space="0" w:color="auto"/>
        <w:right w:val="none" w:sz="0" w:space="0" w:color="auto"/>
      </w:divBdr>
      <w:divsChild>
        <w:div w:id="711345894">
          <w:marLeft w:val="0"/>
          <w:marRight w:val="0"/>
          <w:marTop w:val="0"/>
          <w:marBottom w:val="150"/>
          <w:divBdr>
            <w:top w:val="none" w:sz="0" w:space="0" w:color="auto"/>
            <w:left w:val="none" w:sz="0" w:space="0" w:color="auto"/>
            <w:bottom w:val="none" w:sz="0" w:space="0" w:color="auto"/>
            <w:right w:val="none" w:sz="0" w:space="0" w:color="auto"/>
          </w:divBdr>
          <w:divsChild>
            <w:div w:id="61067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595142">
      <w:bodyDiv w:val="1"/>
      <w:marLeft w:val="0"/>
      <w:marRight w:val="0"/>
      <w:marTop w:val="0"/>
      <w:marBottom w:val="0"/>
      <w:divBdr>
        <w:top w:val="none" w:sz="0" w:space="0" w:color="auto"/>
        <w:left w:val="none" w:sz="0" w:space="0" w:color="auto"/>
        <w:bottom w:val="none" w:sz="0" w:space="0" w:color="auto"/>
        <w:right w:val="none" w:sz="0" w:space="0" w:color="auto"/>
      </w:divBdr>
    </w:div>
    <w:div w:id="516771652">
      <w:bodyDiv w:val="1"/>
      <w:marLeft w:val="0"/>
      <w:marRight w:val="0"/>
      <w:marTop w:val="0"/>
      <w:marBottom w:val="0"/>
      <w:divBdr>
        <w:top w:val="none" w:sz="0" w:space="0" w:color="auto"/>
        <w:left w:val="none" w:sz="0" w:space="0" w:color="auto"/>
        <w:bottom w:val="none" w:sz="0" w:space="0" w:color="auto"/>
        <w:right w:val="none" w:sz="0" w:space="0" w:color="auto"/>
      </w:divBdr>
    </w:div>
    <w:div w:id="595594637">
      <w:bodyDiv w:val="1"/>
      <w:marLeft w:val="0"/>
      <w:marRight w:val="0"/>
      <w:marTop w:val="0"/>
      <w:marBottom w:val="0"/>
      <w:divBdr>
        <w:top w:val="none" w:sz="0" w:space="0" w:color="auto"/>
        <w:left w:val="none" w:sz="0" w:space="0" w:color="auto"/>
        <w:bottom w:val="none" w:sz="0" w:space="0" w:color="auto"/>
        <w:right w:val="none" w:sz="0" w:space="0" w:color="auto"/>
      </w:divBdr>
    </w:div>
    <w:div w:id="597563631">
      <w:bodyDiv w:val="1"/>
      <w:marLeft w:val="0"/>
      <w:marRight w:val="0"/>
      <w:marTop w:val="0"/>
      <w:marBottom w:val="0"/>
      <w:divBdr>
        <w:top w:val="none" w:sz="0" w:space="0" w:color="auto"/>
        <w:left w:val="none" w:sz="0" w:space="0" w:color="auto"/>
        <w:bottom w:val="none" w:sz="0" w:space="0" w:color="auto"/>
        <w:right w:val="none" w:sz="0" w:space="0" w:color="auto"/>
      </w:divBdr>
    </w:div>
    <w:div w:id="636880600">
      <w:bodyDiv w:val="1"/>
      <w:marLeft w:val="0"/>
      <w:marRight w:val="0"/>
      <w:marTop w:val="0"/>
      <w:marBottom w:val="0"/>
      <w:divBdr>
        <w:top w:val="none" w:sz="0" w:space="0" w:color="auto"/>
        <w:left w:val="none" w:sz="0" w:space="0" w:color="auto"/>
        <w:bottom w:val="none" w:sz="0" w:space="0" w:color="auto"/>
        <w:right w:val="none" w:sz="0" w:space="0" w:color="auto"/>
      </w:divBdr>
    </w:div>
    <w:div w:id="640966654">
      <w:bodyDiv w:val="1"/>
      <w:marLeft w:val="0"/>
      <w:marRight w:val="0"/>
      <w:marTop w:val="0"/>
      <w:marBottom w:val="0"/>
      <w:divBdr>
        <w:top w:val="none" w:sz="0" w:space="0" w:color="auto"/>
        <w:left w:val="none" w:sz="0" w:space="0" w:color="auto"/>
        <w:bottom w:val="none" w:sz="0" w:space="0" w:color="auto"/>
        <w:right w:val="none" w:sz="0" w:space="0" w:color="auto"/>
      </w:divBdr>
    </w:div>
    <w:div w:id="721439295">
      <w:bodyDiv w:val="1"/>
      <w:marLeft w:val="0"/>
      <w:marRight w:val="0"/>
      <w:marTop w:val="0"/>
      <w:marBottom w:val="0"/>
      <w:divBdr>
        <w:top w:val="none" w:sz="0" w:space="0" w:color="auto"/>
        <w:left w:val="none" w:sz="0" w:space="0" w:color="auto"/>
        <w:bottom w:val="none" w:sz="0" w:space="0" w:color="auto"/>
        <w:right w:val="none" w:sz="0" w:space="0" w:color="auto"/>
      </w:divBdr>
    </w:div>
    <w:div w:id="747045017">
      <w:bodyDiv w:val="1"/>
      <w:marLeft w:val="0"/>
      <w:marRight w:val="0"/>
      <w:marTop w:val="0"/>
      <w:marBottom w:val="0"/>
      <w:divBdr>
        <w:top w:val="none" w:sz="0" w:space="0" w:color="auto"/>
        <w:left w:val="none" w:sz="0" w:space="0" w:color="auto"/>
        <w:bottom w:val="none" w:sz="0" w:space="0" w:color="auto"/>
        <w:right w:val="none" w:sz="0" w:space="0" w:color="auto"/>
      </w:divBdr>
    </w:div>
    <w:div w:id="861169656">
      <w:bodyDiv w:val="1"/>
      <w:marLeft w:val="0"/>
      <w:marRight w:val="0"/>
      <w:marTop w:val="0"/>
      <w:marBottom w:val="0"/>
      <w:divBdr>
        <w:top w:val="none" w:sz="0" w:space="0" w:color="auto"/>
        <w:left w:val="none" w:sz="0" w:space="0" w:color="auto"/>
        <w:bottom w:val="none" w:sz="0" w:space="0" w:color="auto"/>
        <w:right w:val="none" w:sz="0" w:space="0" w:color="auto"/>
      </w:divBdr>
    </w:div>
    <w:div w:id="861435586">
      <w:bodyDiv w:val="1"/>
      <w:marLeft w:val="0"/>
      <w:marRight w:val="0"/>
      <w:marTop w:val="0"/>
      <w:marBottom w:val="0"/>
      <w:divBdr>
        <w:top w:val="none" w:sz="0" w:space="0" w:color="auto"/>
        <w:left w:val="none" w:sz="0" w:space="0" w:color="auto"/>
        <w:bottom w:val="none" w:sz="0" w:space="0" w:color="auto"/>
        <w:right w:val="none" w:sz="0" w:space="0" w:color="auto"/>
      </w:divBdr>
    </w:div>
    <w:div w:id="874316146">
      <w:bodyDiv w:val="1"/>
      <w:marLeft w:val="0"/>
      <w:marRight w:val="0"/>
      <w:marTop w:val="0"/>
      <w:marBottom w:val="0"/>
      <w:divBdr>
        <w:top w:val="none" w:sz="0" w:space="0" w:color="auto"/>
        <w:left w:val="none" w:sz="0" w:space="0" w:color="auto"/>
        <w:bottom w:val="none" w:sz="0" w:space="0" w:color="auto"/>
        <w:right w:val="none" w:sz="0" w:space="0" w:color="auto"/>
      </w:divBdr>
    </w:div>
    <w:div w:id="912397611">
      <w:bodyDiv w:val="1"/>
      <w:marLeft w:val="0"/>
      <w:marRight w:val="0"/>
      <w:marTop w:val="0"/>
      <w:marBottom w:val="0"/>
      <w:divBdr>
        <w:top w:val="none" w:sz="0" w:space="0" w:color="auto"/>
        <w:left w:val="none" w:sz="0" w:space="0" w:color="auto"/>
        <w:bottom w:val="none" w:sz="0" w:space="0" w:color="auto"/>
        <w:right w:val="none" w:sz="0" w:space="0" w:color="auto"/>
      </w:divBdr>
    </w:div>
    <w:div w:id="946279035">
      <w:bodyDiv w:val="1"/>
      <w:marLeft w:val="0"/>
      <w:marRight w:val="0"/>
      <w:marTop w:val="0"/>
      <w:marBottom w:val="0"/>
      <w:divBdr>
        <w:top w:val="none" w:sz="0" w:space="0" w:color="auto"/>
        <w:left w:val="none" w:sz="0" w:space="0" w:color="auto"/>
        <w:bottom w:val="none" w:sz="0" w:space="0" w:color="auto"/>
        <w:right w:val="none" w:sz="0" w:space="0" w:color="auto"/>
      </w:divBdr>
    </w:div>
    <w:div w:id="966935055">
      <w:bodyDiv w:val="1"/>
      <w:marLeft w:val="0"/>
      <w:marRight w:val="0"/>
      <w:marTop w:val="0"/>
      <w:marBottom w:val="0"/>
      <w:divBdr>
        <w:top w:val="none" w:sz="0" w:space="0" w:color="auto"/>
        <w:left w:val="none" w:sz="0" w:space="0" w:color="auto"/>
        <w:bottom w:val="none" w:sz="0" w:space="0" w:color="auto"/>
        <w:right w:val="none" w:sz="0" w:space="0" w:color="auto"/>
      </w:divBdr>
    </w:div>
    <w:div w:id="1058020427">
      <w:bodyDiv w:val="1"/>
      <w:marLeft w:val="0"/>
      <w:marRight w:val="0"/>
      <w:marTop w:val="0"/>
      <w:marBottom w:val="0"/>
      <w:divBdr>
        <w:top w:val="none" w:sz="0" w:space="0" w:color="auto"/>
        <w:left w:val="none" w:sz="0" w:space="0" w:color="auto"/>
        <w:bottom w:val="none" w:sz="0" w:space="0" w:color="auto"/>
        <w:right w:val="none" w:sz="0" w:space="0" w:color="auto"/>
      </w:divBdr>
      <w:divsChild>
        <w:div w:id="1592813337">
          <w:marLeft w:val="0"/>
          <w:marRight w:val="0"/>
          <w:marTop w:val="0"/>
          <w:marBottom w:val="0"/>
          <w:divBdr>
            <w:top w:val="none" w:sz="0" w:space="0" w:color="auto"/>
            <w:left w:val="none" w:sz="0" w:space="0" w:color="auto"/>
            <w:bottom w:val="none" w:sz="0" w:space="0" w:color="auto"/>
            <w:right w:val="none" w:sz="0" w:space="0" w:color="auto"/>
          </w:divBdr>
          <w:divsChild>
            <w:div w:id="1449275788">
              <w:marLeft w:val="0"/>
              <w:marRight w:val="0"/>
              <w:marTop w:val="0"/>
              <w:marBottom w:val="0"/>
              <w:divBdr>
                <w:top w:val="none" w:sz="0" w:space="0" w:color="auto"/>
                <w:left w:val="none" w:sz="0" w:space="0" w:color="auto"/>
                <w:bottom w:val="none" w:sz="0" w:space="0" w:color="auto"/>
                <w:right w:val="none" w:sz="0" w:space="0" w:color="auto"/>
              </w:divBdr>
              <w:divsChild>
                <w:div w:id="1564291374">
                  <w:marLeft w:val="0"/>
                  <w:marRight w:val="0"/>
                  <w:marTop w:val="0"/>
                  <w:marBottom w:val="975"/>
                  <w:divBdr>
                    <w:top w:val="none" w:sz="0" w:space="0" w:color="auto"/>
                    <w:left w:val="none" w:sz="0" w:space="0" w:color="auto"/>
                    <w:bottom w:val="none" w:sz="0" w:space="0" w:color="auto"/>
                    <w:right w:val="none" w:sz="0" w:space="0" w:color="auto"/>
                  </w:divBdr>
                  <w:divsChild>
                    <w:div w:id="206899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475299">
      <w:bodyDiv w:val="1"/>
      <w:marLeft w:val="0"/>
      <w:marRight w:val="0"/>
      <w:marTop w:val="0"/>
      <w:marBottom w:val="0"/>
      <w:divBdr>
        <w:top w:val="none" w:sz="0" w:space="0" w:color="auto"/>
        <w:left w:val="none" w:sz="0" w:space="0" w:color="auto"/>
        <w:bottom w:val="none" w:sz="0" w:space="0" w:color="auto"/>
        <w:right w:val="none" w:sz="0" w:space="0" w:color="auto"/>
      </w:divBdr>
    </w:div>
    <w:div w:id="1161432744">
      <w:bodyDiv w:val="1"/>
      <w:marLeft w:val="0"/>
      <w:marRight w:val="0"/>
      <w:marTop w:val="0"/>
      <w:marBottom w:val="0"/>
      <w:divBdr>
        <w:top w:val="none" w:sz="0" w:space="0" w:color="auto"/>
        <w:left w:val="none" w:sz="0" w:space="0" w:color="auto"/>
        <w:bottom w:val="none" w:sz="0" w:space="0" w:color="auto"/>
        <w:right w:val="none" w:sz="0" w:space="0" w:color="auto"/>
      </w:divBdr>
    </w:div>
    <w:div w:id="1253465589">
      <w:bodyDiv w:val="1"/>
      <w:marLeft w:val="0"/>
      <w:marRight w:val="0"/>
      <w:marTop w:val="0"/>
      <w:marBottom w:val="0"/>
      <w:divBdr>
        <w:top w:val="none" w:sz="0" w:space="0" w:color="auto"/>
        <w:left w:val="none" w:sz="0" w:space="0" w:color="auto"/>
        <w:bottom w:val="none" w:sz="0" w:space="0" w:color="auto"/>
        <w:right w:val="none" w:sz="0" w:space="0" w:color="auto"/>
      </w:divBdr>
      <w:divsChild>
        <w:div w:id="1151405502">
          <w:marLeft w:val="0"/>
          <w:marRight w:val="0"/>
          <w:marTop w:val="0"/>
          <w:marBottom w:val="0"/>
          <w:divBdr>
            <w:top w:val="none" w:sz="0" w:space="0" w:color="auto"/>
            <w:left w:val="none" w:sz="0" w:space="0" w:color="auto"/>
            <w:bottom w:val="none" w:sz="0" w:space="0" w:color="auto"/>
            <w:right w:val="none" w:sz="0" w:space="0" w:color="auto"/>
          </w:divBdr>
        </w:div>
      </w:divsChild>
    </w:div>
    <w:div w:id="1340306967">
      <w:bodyDiv w:val="1"/>
      <w:marLeft w:val="0"/>
      <w:marRight w:val="0"/>
      <w:marTop w:val="0"/>
      <w:marBottom w:val="0"/>
      <w:divBdr>
        <w:top w:val="none" w:sz="0" w:space="0" w:color="auto"/>
        <w:left w:val="none" w:sz="0" w:space="0" w:color="auto"/>
        <w:bottom w:val="none" w:sz="0" w:space="0" w:color="auto"/>
        <w:right w:val="none" w:sz="0" w:space="0" w:color="auto"/>
      </w:divBdr>
    </w:div>
    <w:div w:id="1413549196">
      <w:bodyDiv w:val="1"/>
      <w:marLeft w:val="0"/>
      <w:marRight w:val="0"/>
      <w:marTop w:val="0"/>
      <w:marBottom w:val="0"/>
      <w:divBdr>
        <w:top w:val="none" w:sz="0" w:space="0" w:color="auto"/>
        <w:left w:val="none" w:sz="0" w:space="0" w:color="auto"/>
        <w:bottom w:val="none" w:sz="0" w:space="0" w:color="auto"/>
        <w:right w:val="none" w:sz="0" w:space="0" w:color="auto"/>
      </w:divBdr>
    </w:div>
    <w:div w:id="1414013687">
      <w:bodyDiv w:val="1"/>
      <w:marLeft w:val="0"/>
      <w:marRight w:val="0"/>
      <w:marTop w:val="0"/>
      <w:marBottom w:val="0"/>
      <w:divBdr>
        <w:top w:val="none" w:sz="0" w:space="0" w:color="auto"/>
        <w:left w:val="none" w:sz="0" w:space="0" w:color="auto"/>
        <w:bottom w:val="none" w:sz="0" w:space="0" w:color="auto"/>
        <w:right w:val="none" w:sz="0" w:space="0" w:color="auto"/>
      </w:divBdr>
    </w:div>
    <w:div w:id="1426463944">
      <w:bodyDiv w:val="1"/>
      <w:marLeft w:val="0"/>
      <w:marRight w:val="0"/>
      <w:marTop w:val="0"/>
      <w:marBottom w:val="0"/>
      <w:divBdr>
        <w:top w:val="none" w:sz="0" w:space="0" w:color="auto"/>
        <w:left w:val="none" w:sz="0" w:space="0" w:color="auto"/>
        <w:bottom w:val="none" w:sz="0" w:space="0" w:color="auto"/>
        <w:right w:val="none" w:sz="0" w:space="0" w:color="auto"/>
      </w:divBdr>
    </w:div>
    <w:div w:id="1452482351">
      <w:bodyDiv w:val="1"/>
      <w:marLeft w:val="0"/>
      <w:marRight w:val="0"/>
      <w:marTop w:val="0"/>
      <w:marBottom w:val="0"/>
      <w:divBdr>
        <w:top w:val="none" w:sz="0" w:space="0" w:color="auto"/>
        <w:left w:val="none" w:sz="0" w:space="0" w:color="auto"/>
        <w:bottom w:val="none" w:sz="0" w:space="0" w:color="auto"/>
        <w:right w:val="none" w:sz="0" w:space="0" w:color="auto"/>
      </w:divBdr>
      <w:divsChild>
        <w:div w:id="1240553393">
          <w:marLeft w:val="0"/>
          <w:marRight w:val="0"/>
          <w:marTop w:val="0"/>
          <w:marBottom w:val="0"/>
          <w:divBdr>
            <w:top w:val="none" w:sz="0" w:space="0" w:color="auto"/>
            <w:left w:val="none" w:sz="0" w:space="0" w:color="auto"/>
            <w:bottom w:val="none" w:sz="0" w:space="0" w:color="auto"/>
            <w:right w:val="none" w:sz="0" w:space="0" w:color="auto"/>
          </w:divBdr>
          <w:divsChild>
            <w:div w:id="441653131">
              <w:marLeft w:val="240"/>
              <w:marRight w:val="0"/>
              <w:marTop w:val="0"/>
              <w:marBottom w:val="0"/>
              <w:divBdr>
                <w:top w:val="none" w:sz="0" w:space="0" w:color="auto"/>
                <w:left w:val="none" w:sz="0" w:space="0" w:color="auto"/>
                <w:bottom w:val="none" w:sz="0" w:space="0" w:color="auto"/>
                <w:right w:val="none" w:sz="0" w:space="0" w:color="auto"/>
              </w:divBdr>
            </w:div>
            <w:div w:id="892812785">
              <w:marLeft w:val="0"/>
              <w:marRight w:val="0"/>
              <w:marTop w:val="0"/>
              <w:marBottom w:val="0"/>
              <w:divBdr>
                <w:top w:val="none" w:sz="0" w:space="0" w:color="auto"/>
                <w:left w:val="none" w:sz="0" w:space="0" w:color="auto"/>
                <w:bottom w:val="none" w:sz="0" w:space="0" w:color="auto"/>
                <w:right w:val="none" w:sz="0" w:space="0" w:color="auto"/>
              </w:divBdr>
            </w:div>
            <w:div w:id="2137796640">
              <w:marLeft w:val="0"/>
              <w:marRight w:val="0"/>
              <w:marTop w:val="0"/>
              <w:marBottom w:val="0"/>
              <w:divBdr>
                <w:top w:val="none" w:sz="0" w:space="0" w:color="auto"/>
                <w:left w:val="none" w:sz="0" w:space="0" w:color="auto"/>
                <w:bottom w:val="none" w:sz="0" w:space="0" w:color="auto"/>
                <w:right w:val="none" w:sz="0" w:space="0" w:color="auto"/>
              </w:divBdr>
              <w:divsChild>
                <w:div w:id="165845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499833">
      <w:bodyDiv w:val="1"/>
      <w:marLeft w:val="0"/>
      <w:marRight w:val="0"/>
      <w:marTop w:val="0"/>
      <w:marBottom w:val="0"/>
      <w:divBdr>
        <w:top w:val="none" w:sz="0" w:space="0" w:color="auto"/>
        <w:left w:val="none" w:sz="0" w:space="0" w:color="auto"/>
        <w:bottom w:val="none" w:sz="0" w:space="0" w:color="auto"/>
        <w:right w:val="none" w:sz="0" w:space="0" w:color="auto"/>
      </w:divBdr>
    </w:div>
    <w:div w:id="1575436329">
      <w:bodyDiv w:val="1"/>
      <w:marLeft w:val="0"/>
      <w:marRight w:val="0"/>
      <w:marTop w:val="0"/>
      <w:marBottom w:val="0"/>
      <w:divBdr>
        <w:top w:val="none" w:sz="0" w:space="0" w:color="auto"/>
        <w:left w:val="none" w:sz="0" w:space="0" w:color="auto"/>
        <w:bottom w:val="none" w:sz="0" w:space="0" w:color="auto"/>
        <w:right w:val="none" w:sz="0" w:space="0" w:color="auto"/>
      </w:divBdr>
    </w:div>
    <w:div w:id="1587230019">
      <w:bodyDiv w:val="1"/>
      <w:marLeft w:val="0"/>
      <w:marRight w:val="0"/>
      <w:marTop w:val="0"/>
      <w:marBottom w:val="0"/>
      <w:divBdr>
        <w:top w:val="none" w:sz="0" w:space="0" w:color="auto"/>
        <w:left w:val="none" w:sz="0" w:space="0" w:color="auto"/>
        <w:bottom w:val="none" w:sz="0" w:space="0" w:color="auto"/>
        <w:right w:val="none" w:sz="0" w:space="0" w:color="auto"/>
      </w:divBdr>
    </w:div>
    <w:div w:id="1610352815">
      <w:bodyDiv w:val="1"/>
      <w:marLeft w:val="0"/>
      <w:marRight w:val="0"/>
      <w:marTop w:val="0"/>
      <w:marBottom w:val="0"/>
      <w:divBdr>
        <w:top w:val="none" w:sz="0" w:space="0" w:color="auto"/>
        <w:left w:val="none" w:sz="0" w:space="0" w:color="auto"/>
        <w:bottom w:val="none" w:sz="0" w:space="0" w:color="auto"/>
        <w:right w:val="none" w:sz="0" w:space="0" w:color="auto"/>
      </w:divBdr>
    </w:div>
    <w:div w:id="1865634488">
      <w:bodyDiv w:val="1"/>
      <w:marLeft w:val="0"/>
      <w:marRight w:val="0"/>
      <w:marTop w:val="0"/>
      <w:marBottom w:val="0"/>
      <w:divBdr>
        <w:top w:val="none" w:sz="0" w:space="0" w:color="auto"/>
        <w:left w:val="none" w:sz="0" w:space="0" w:color="auto"/>
        <w:bottom w:val="none" w:sz="0" w:space="0" w:color="auto"/>
        <w:right w:val="none" w:sz="0" w:space="0" w:color="auto"/>
      </w:divBdr>
    </w:div>
    <w:div w:id="1868130368">
      <w:bodyDiv w:val="1"/>
      <w:marLeft w:val="0"/>
      <w:marRight w:val="0"/>
      <w:marTop w:val="0"/>
      <w:marBottom w:val="0"/>
      <w:divBdr>
        <w:top w:val="none" w:sz="0" w:space="0" w:color="auto"/>
        <w:left w:val="none" w:sz="0" w:space="0" w:color="auto"/>
        <w:bottom w:val="none" w:sz="0" w:space="0" w:color="auto"/>
        <w:right w:val="none" w:sz="0" w:space="0" w:color="auto"/>
      </w:divBdr>
    </w:div>
    <w:div w:id="1918394829">
      <w:bodyDiv w:val="1"/>
      <w:marLeft w:val="0"/>
      <w:marRight w:val="0"/>
      <w:marTop w:val="0"/>
      <w:marBottom w:val="0"/>
      <w:divBdr>
        <w:top w:val="none" w:sz="0" w:space="0" w:color="auto"/>
        <w:left w:val="none" w:sz="0" w:space="0" w:color="auto"/>
        <w:bottom w:val="none" w:sz="0" w:space="0" w:color="auto"/>
        <w:right w:val="none" w:sz="0" w:space="0" w:color="auto"/>
      </w:divBdr>
    </w:div>
    <w:div w:id="205176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idunn.no/doi/epdf/10.18261/lor.62.3.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8261/lor.61.8.4" TargetMode="External"/><Relationship Id="rId1" Type="http://schemas.openxmlformats.org/officeDocument/2006/relationships/hyperlink" Target="https://otc-cta.gc.ca/eng/ruling/6-at-a-20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BF6C64AB2C6DE4D9C54341DA793EAD3" ma:contentTypeVersion="14" ma:contentTypeDescription="Opprett et nytt dokument." ma:contentTypeScope="" ma:versionID="92107f6ec35dabe94f95b0edd6ca2649">
  <xsd:schema xmlns:xsd="http://www.w3.org/2001/XMLSchema" xmlns:xs="http://www.w3.org/2001/XMLSchema" xmlns:p="http://schemas.microsoft.com/office/2006/metadata/properties" xmlns:ns3="8c8f0d33-67bd-458c-badb-cca52a17cd8a" xmlns:ns4="e5cb4e83-db38-4afa-ad2e-5c6e13907d8e" targetNamespace="http://schemas.microsoft.com/office/2006/metadata/properties" ma:root="true" ma:fieldsID="1fb5155860424629a98e7fc7c5ed02be" ns3:_="" ns4:_="">
    <xsd:import namespace="8c8f0d33-67bd-458c-badb-cca52a17cd8a"/>
    <xsd:import namespace="e5cb4e83-db38-4afa-ad2e-5c6e13907d8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AutoKeyPoints" minOccurs="0"/>
                <xsd:element ref="ns3:MediaServiceKeyPoints" minOccurs="0"/>
                <xsd:element ref="ns3:MediaServiceLocation" minOccurs="0"/>
                <xsd:element ref="ns3:MediaServiceGenerationTime" minOccurs="0"/>
                <xsd:element ref="ns3:MediaServiceEventHashCode"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8f0d33-67bd-458c-badb-cca52a17cd8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cb4e83-db38-4afa-ad2e-5c6e13907d8e" elementFormDefault="qualified">
    <xsd:import namespace="http://schemas.microsoft.com/office/2006/documentManagement/types"/>
    <xsd:import namespace="http://schemas.microsoft.com/office/infopath/2007/PartnerControls"/>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element name="SharingHintHash" ma:index="21"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1BE1A8-EC58-441C-9EB8-CE85CD61FB19}">
  <ds:schemaRefs>
    <ds:schemaRef ds:uri="http://purl.org/dc/dcmitype/"/>
    <ds:schemaRef ds:uri="http://schemas.microsoft.com/office/infopath/2007/PartnerControls"/>
    <ds:schemaRef ds:uri="8c8f0d33-67bd-458c-badb-cca52a17cd8a"/>
    <ds:schemaRef ds:uri="http://schemas.microsoft.com/office/2006/documentManagement/types"/>
    <ds:schemaRef ds:uri="http://schemas.microsoft.com/office/2006/metadata/properties"/>
    <ds:schemaRef ds:uri="e5cb4e83-db38-4afa-ad2e-5c6e13907d8e"/>
    <ds:schemaRef ds:uri="http://purl.org/dc/term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FAB5CFFF-CC8A-47EC-BA17-AFB15393B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8f0d33-67bd-458c-badb-cca52a17cd8a"/>
    <ds:schemaRef ds:uri="e5cb4e83-db38-4afa-ad2e-5c6e13907d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85F594-AB69-4269-8165-B5189FF971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6</Pages>
  <Words>2744</Words>
  <Characters>14547</Characters>
  <Application>Microsoft Office Word</Application>
  <DocSecurity>0</DocSecurity>
  <Lines>121</Lines>
  <Paragraphs>34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17257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Robberstad</dc:creator>
  <cp:keywords/>
  <dc:description/>
  <cp:lastModifiedBy>Anne Robberstad</cp:lastModifiedBy>
  <cp:revision>30</cp:revision>
  <cp:lastPrinted>2023-01-03T12:32:00Z</cp:lastPrinted>
  <dcterms:created xsi:type="dcterms:W3CDTF">2023-02-15T09:58:00Z</dcterms:created>
  <dcterms:modified xsi:type="dcterms:W3CDTF">2023-04-13T13:49:00Z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0x010100ABF6C64AB2C6DE4D9C54341DA793EAD3</vt:lpwstr>
  </property>
</Properties>
</file>